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975" w:rsidRPr="002A0CBB" w:rsidRDefault="002A0CBB">
      <w:pPr>
        <w:rPr>
          <w:lang w:val="en-US"/>
        </w:rPr>
      </w:pPr>
      <w:r w:rsidRPr="002A0CBB">
        <w:rPr>
          <w:lang w:val="en-US"/>
        </w:rPr>
        <w:t>Supplementary</w:t>
      </w:r>
    </w:p>
    <w:p w:rsidR="002A0CBB" w:rsidRDefault="002A0CBB">
      <w:pPr>
        <w:rPr>
          <w:lang w:val="en-US"/>
        </w:rPr>
      </w:pPr>
    </w:p>
    <w:p w:rsidR="002A0CBB" w:rsidRDefault="002A0CBB">
      <w:pPr>
        <w:rPr>
          <w:lang w:val="en-US"/>
        </w:rPr>
      </w:pPr>
      <w:r>
        <w:rPr>
          <w:lang w:val="en-US"/>
        </w:rPr>
        <w:t>COMSOL test for thermo-chemical mantle convection</w:t>
      </w:r>
    </w:p>
    <w:p w:rsidR="002A0CBB" w:rsidRDefault="002A0CBB">
      <w:pPr>
        <w:rPr>
          <w:lang w:val="en-US"/>
        </w:rPr>
      </w:pPr>
    </w:p>
    <w:p w:rsidR="002A0CBB" w:rsidRDefault="001B036F">
      <w:pPr>
        <w:rPr>
          <w:lang w:val="en-US"/>
        </w:rPr>
      </w:pPr>
      <w:r>
        <w:rPr>
          <w:lang w:val="en-US"/>
        </w:rPr>
        <w:tab/>
      </w:r>
      <w:r w:rsidR="002A0CBB">
        <w:rPr>
          <w:lang w:val="en-US"/>
        </w:rPr>
        <w:t xml:space="preserve">COMSOL </w:t>
      </w:r>
      <w:proofErr w:type="spellStart"/>
      <w:r w:rsidR="002A0CBB">
        <w:rPr>
          <w:lang w:val="en-US"/>
        </w:rPr>
        <w:t>Multiphysics</w:t>
      </w:r>
      <w:proofErr w:type="spellEnd"/>
      <w:r w:rsidR="002A0CBB">
        <w:rPr>
          <w:lang w:val="en-US"/>
        </w:rPr>
        <w:t xml:space="preserve"> v4.2a finite element numerical model package was used to simulate thermo-chemical convection occurring in the Earth’s mantle. In order to estimate the accuracy and limitation of the method and the model results </w:t>
      </w:r>
      <w:r w:rsidR="009D3803">
        <w:rPr>
          <w:lang w:val="en-US"/>
        </w:rPr>
        <w:t>two</w:t>
      </w:r>
      <w:r w:rsidR="002A0CBB">
        <w:rPr>
          <w:lang w:val="en-US"/>
        </w:rPr>
        <w:t xml:space="preserve"> comparison test</w:t>
      </w:r>
      <w:r w:rsidR="009D3803">
        <w:rPr>
          <w:lang w:val="en-US"/>
        </w:rPr>
        <w:t>s</w:t>
      </w:r>
      <w:r w:rsidR="00A77307">
        <w:rPr>
          <w:lang w:val="en-US"/>
        </w:rPr>
        <w:t xml:space="preserve"> were</w:t>
      </w:r>
      <w:r w:rsidR="002A0CBB">
        <w:rPr>
          <w:lang w:val="en-US"/>
        </w:rPr>
        <w:t xml:space="preserve"> carried </w:t>
      </w:r>
      <w:r w:rsidR="002A0CBB" w:rsidRPr="00984309">
        <w:rPr>
          <w:lang w:val="en-US"/>
        </w:rPr>
        <w:t xml:space="preserve">out. </w:t>
      </w:r>
      <w:r w:rsidR="00431282" w:rsidRPr="00984309">
        <w:rPr>
          <w:lang w:val="en-US"/>
        </w:rPr>
        <w:t xml:space="preserve">A benchmark paper by van </w:t>
      </w:r>
      <w:proofErr w:type="spellStart"/>
      <w:r w:rsidR="00431282" w:rsidRPr="00984309">
        <w:rPr>
          <w:lang w:val="en-US"/>
        </w:rPr>
        <w:t>Keken</w:t>
      </w:r>
      <w:proofErr w:type="spellEnd"/>
      <w:r w:rsidR="00431282" w:rsidRPr="00984309">
        <w:rPr>
          <w:lang w:val="en-US"/>
        </w:rPr>
        <w:t xml:space="preserve"> et al. (1997) was used to qualify </w:t>
      </w:r>
      <w:r w:rsidR="00253499" w:rsidRPr="00984309">
        <w:rPr>
          <w:lang w:val="en-US"/>
        </w:rPr>
        <w:t>the solution.</w:t>
      </w:r>
    </w:p>
    <w:p w:rsidR="009D3803" w:rsidRDefault="001B036F">
      <w:pPr>
        <w:rPr>
          <w:lang w:val="en-US"/>
        </w:rPr>
      </w:pPr>
      <w:r>
        <w:rPr>
          <w:lang w:val="en-US"/>
        </w:rPr>
        <w:tab/>
      </w:r>
      <w:r w:rsidR="009D3803">
        <w:rPr>
          <w:lang w:val="en-US"/>
        </w:rPr>
        <w:t>Test 1 is an isothermal Rayleigh–Taylor problem in which a light layer with a thickness of 0.2 is situated at the bottom of the 2D model domain with an aspect ratio 1</w:t>
      </w:r>
      <w:r w:rsidR="009D3803">
        <w:rPr>
          <w:lang w:val="en-US"/>
        </w:rPr>
        <w:sym w:font="Symbol" w:char="F0B4"/>
      </w:r>
      <w:r w:rsidR="009D3803">
        <w:rPr>
          <w:lang w:val="en-US"/>
        </w:rPr>
        <w:t xml:space="preserve">0.9142. </w:t>
      </w:r>
      <w:proofErr w:type="spellStart"/>
      <w:r w:rsidR="000C3486">
        <w:rPr>
          <w:lang w:val="en-US"/>
        </w:rPr>
        <w:t>Boussinesq</w:t>
      </w:r>
      <w:proofErr w:type="spellEnd"/>
      <w:r w:rsidR="000C3486">
        <w:rPr>
          <w:lang w:val="en-US"/>
        </w:rPr>
        <w:t xml:space="preserve"> approximation of the equations governing the thermo-chemical convection was applied. The two non-dimensional parameter, the thermal and the compositionally Rayleigh number were </w:t>
      </w:r>
      <w:r w:rsidR="000C3486" w:rsidRPr="000C3486">
        <w:rPr>
          <w:i/>
          <w:lang w:val="en-US"/>
        </w:rPr>
        <w:t>R</w:t>
      </w:r>
      <w:r w:rsidR="000C3486" w:rsidRPr="002225C5">
        <w:rPr>
          <w:i/>
          <w:lang w:val="en-US"/>
        </w:rPr>
        <w:t>a</w:t>
      </w:r>
      <w:r w:rsidR="000C3486">
        <w:rPr>
          <w:lang w:val="en-US"/>
        </w:rPr>
        <w:t xml:space="preserve">=0 and </w:t>
      </w:r>
      <w:proofErr w:type="spellStart"/>
      <w:r w:rsidR="000C3486" w:rsidRPr="000C3486">
        <w:rPr>
          <w:i/>
          <w:lang w:val="en-US"/>
        </w:rPr>
        <w:t>R</w:t>
      </w:r>
      <w:r w:rsidR="000C3486" w:rsidRPr="002225C5">
        <w:rPr>
          <w:i/>
          <w:lang w:val="en-US"/>
        </w:rPr>
        <w:t>b</w:t>
      </w:r>
      <w:proofErr w:type="spellEnd"/>
      <w:r w:rsidR="000C3486">
        <w:rPr>
          <w:lang w:val="en-US"/>
        </w:rPr>
        <w:t xml:space="preserve">=1, respectively. The comparison was made based on four quantities: the growth rate of the instability obtained from </w:t>
      </w:r>
      <w:proofErr w:type="spellStart"/>
      <w:r w:rsidR="000C3486">
        <w:rPr>
          <w:lang w:val="en-US"/>
        </w:rPr>
        <w:t>rms</w:t>
      </w:r>
      <w:proofErr w:type="spellEnd"/>
      <w:r w:rsidR="000C3486">
        <w:rPr>
          <w:lang w:val="en-US"/>
        </w:rPr>
        <w:t xml:space="preserve"> velocity</w:t>
      </w:r>
      <w:proofErr w:type="gramStart"/>
      <w:r w:rsidR="000C3486">
        <w:rPr>
          <w:lang w:val="en-US"/>
        </w:rPr>
        <w:t xml:space="preserve">, </w:t>
      </w:r>
      <w:proofErr w:type="gramEnd"/>
      <w:r w:rsidR="000C3486">
        <w:rPr>
          <w:lang w:val="en-US"/>
        </w:rPr>
        <w:sym w:font="Symbol" w:char="F067"/>
      </w:r>
      <w:r w:rsidR="000C3486">
        <w:rPr>
          <w:lang w:val="en-US"/>
        </w:rPr>
        <w:t xml:space="preserve">; the maximum </w:t>
      </w:r>
      <w:proofErr w:type="spellStart"/>
      <w:r w:rsidR="00C330B8">
        <w:rPr>
          <w:lang w:val="en-US"/>
        </w:rPr>
        <w:t>rms</w:t>
      </w:r>
      <w:proofErr w:type="spellEnd"/>
      <w:r w:rsidR="00C330B8">
        <w:rPr>
          <w:lang w:val="en-US"/>
        </w:rPr>
        <w:t xml:space="preserve"> </w:t>
      </w:r>
      <w:r w:rsidR="000C3486">
        <w:rPr>
          <w:lang w:val="en-US"/>
        </w:rPr>
        <w:t xml:space="preserve">velocity of the system, </w:t>
      </w:r>
      <w:proofErr w:type="spellStart"/>
      <w:r w:rsidR="000C3486" w:rsidRPr="000C3486">
        <w:rPr>
          <w:i/>
          <w:lang w:val="en-US"/>
        </w:rPr>
        <w:t>v</w:t>
      </w:r>
      <w:r w:rsidR="000C3486" w:rsidRPr="000C3486">
        <w:rPr>
          <w:i/>
          <w:vertAlign w:val="subscript"/>
          <w:lang w:val="en-US"/>
        </w:rPr>
        <w:t>max</w:t>
      </w:r>
      <w:proofErr w:type="spellEnd"/>
      <w:r w:rsidR="000C3486">
        <w:rPr>
          <w:lang w:val="en-US"/>
        </w:rPr>
        <w:t xml:space="preserve">; the time at the maximum velocity, </w:t>
      </w:r>
      <w:proofErr w:type="spellStart"/>
      <w:r w:rsidR="000C3486" w:rsidRPr="00A77307">
        <w:rPr>
          <w:i/>
          <w:lang w:val="en-US"/>
        </w:rPr>
        <w:t>t</w:t>
      </w:r>
      <w:r w:rsidR="000C3486" w:rsidRPr="00A77307">
        <w:rPr>
          <w:i/>
          <w:vertAlign w:val="subscript"/>
          <w:lang w:val="en-US"/>
        </w:rPr>
        <w:t>max</w:t>
      </w:r>
      <w:proofErr w:type="spellEnd"/>
      <w:r w:rsidR="000C3486">
        <w:rPr>
          <w:lang w:val="en-US"/>
        </w:rPr>
        <w:t xml:space="preserve">; and time variation of the entrainment rate, </w:t>
      </w:r>
      <w:r w:rsidR="003B512F">
        <w:rPr>
          <w:i/>
          <w:lang w:val="en-US"/>
        </w:rPr>
        <w:t>e</w:t>
      </w:r>
      <w:r w:rsidR="003B512F">
        <w:rPr>
          <w:lang w:val="en-US"/>
        </w:rPr>
        <w:t>(</w:t>
      </w:r>
      <w:r w:rsidR="003B512F">
        <w:rPr>
          <w:i/>
          <w:lang w:val="en-US"/>
        </w:rPr>
        <w:t>t</w:t>
      </w:r>
      <w:r w:rsidR="003B512F">
        <w:rPr>
          <w:lang w:val="en-US"/>
        </w:rPr>
        <w:t>)</w:t>
      </w:r>
      <w:r w:rsidR="000C3486">
        <w:rPr>
          <w:lang w:val="en-US"/>
        </w:rPr>
        <w:t xml:space="preserve">. </w:t>
      </w:r>
      <w:r>
        <w:rPr>
          <w:lang w:val="en-US"/>
        </w:rPr>
        <w:t xml:space="preserve">For details see paper of van </w:t>
      </w:r>
      <w:proofErr w:type="spellStart"/>
      <w:r>
        <w:rPr>
          <w:lang w:val="en-US"/>
        </w:rPr>
        <w:t>Keken</w:t>
      </w:r>
      <w:proofErr w:type="spellEnd"/>
      <w:r>
        <w:rPr>
          <w:lang w:val="en-US"/>
        </w:rPr>
        <w:t xml:space="preserve"> et al. (1997).</w:t>
      </w:r>
      <w:r w:rsidR="00DB6380">
        <w:rPr>
          <w:lang w:val="en-US"/>
        </w:rPr>
        <w:t>The maximum element size</w:t>
      </w:r>
      <w:r>
        <w:rPr>
          <w:lang w:val="en-US"/>
        </w:rPr>
        <w:t xml:space="preserve"> (similarly to resolution applied in the </w:t>
      </w:r>
      <w:r w:rsidR="00593E4D">
        <w:rPr>
          <w:lang w:val="en-US"/>
        </w:rPr>
        <w:t xml:space="preserve">companion </w:t>
      </w:r>
      <w:r>
        <w:rPr>
          <w:lang w:val="en-US"/>
        </w:rPr>
        <w:t>paper)</w:t>
      </w:r>
      <w:r w:rsidR="00DB6380">
        <w:rPr>
          <w:lang w:val="en-US"/>
        </w:rPr>
        <w:t xml:space="preserve"> was </w:t>
      </w:r>
      <w:r>
        <w:rPr>
          <w:lang w:val="en-US"/>
        </w:rPr>
        <w:t>0.017 in the model domain decreasing to 0.01 and 0.005 toward the boundaries closing round the upper dense and the lower light layer, resp.</w:t>
      </w:r>
    </w:p>
    <w:p w:rsidR="003B512F" w:rsidRPr="003B512F" w:rsidRDefault="001B036F">
      <w:pPr>
        <w:rPr>
          <w:lang w:val="en-US"/>
        </w:rPr>
      </w:pPr>
      <w:r>
        <w:rPr>
          <w:lang w:val="en-US"/>
        </w:rPr>
        <w:tab/>
      </w:r>
      <w:r w:rsidR="003B512F">
        <w:rPr>
          <w:lang w:val="en-US"/>
        </w:rPr>
        <w:t xml:space="preserve">In the test the light lower layer becomes </w:t>
      </w:r>
      <w:r w:rsidR="00593E4D">
        <w:rPr>
          <w:lang w:val="en-US"/>
        </w:rPr>
        <w:t>i</w:t>
      </w:r>
      <w:r w:rsidR="003B512F">
        <w:rPr>
          <w:lang w:val="en-US"/>
        </w:rPr>
        <w:t>nstable and a plume evolves on th</w:t>
      </w:r>
      <w:r w:rsidR="00EF1372">
        <w:rPr>
          <w:lang w:val="en-US"/>
        </w:rPr>
        <w:t>e left of the model domain (</w:t>
      </w:r>
      <w:r w:rsidR="00EF1372" w:rsidRPr="00EF1372">
        <w:rPr>
          <w:i/>
          <w:lang w:val="en-US"/>
        </w:rPr>
        <w:t>Figure</w:t>
      </w:r>
      <w:r w:rsidR="003B512F" w:rsidRPr="00EF1372">
        <w:rPr>
          <w:i/>
          <w:lang w:val="en-US"/>
        </w:rPr>
        <w:t xml:space="preserve"> </w:t>
      </w:r>
      <w:r w:rsidR="00C330B8">
        <w:rPr>
          <w:i/>
          <w:lang w:val="en-US"/>
        </w:rPr>
        <w:t>S</w:t>
      </w:r>
      <w:r w:rsidR="003B512F" w:rsidRPr="00EF1372">
        <w:rPr>
          <w:i/>
          <w:lang w:val="en-US"/>
        </w:rPr>
        <w:t>1.</w:t>
      </w:r>
      <w:r w:rsidR="00593E4D">
        <w:rPr>
          <w:i/>
          <w:lang w:val="en-US"/>
        </w:rPr>
        <w:t>b</w:t>
      </w:r>
      <w:r w:rsidR="003B512F">
        <w:rPr>
          <w:lang w:val="en-US"/>
        </w:rPr>
        <w:t xml:space="preserve">). A secondary plume with less buoyancy forms on the right side of the box to entrain the remnant </w:t>
      </w:r>
      <w:r w:rsidR="00C76D93">
        <w:rPr>
          <w:lang w:val="en-US"/>
        </w:rPr>
        <w:t xml:space="preserve">of the </w:t>
      </w:r>
      <w:r w:rsidR="003B512F">
        <w:rPr>
          <w:lang w:val="en-US"/>
        </w:rPr>
        <w:t>light material upward (</w:t>
      </w:r>
      <w:r w:rsidR="003B512F" w:rsidRPr="00593E4D">
        <w:rPr>
          <w:i/>
          <w:lang w:val="en-US"/>
        </w:rPr>
        <w:t xml:space="preserve">Fig. </w:t>
      </w:r>
      <w:r w:rsidR="00C330B8">
        <w:rPr>
          <w:i/>
          <w:lang w:val="en-US"/>
        </w:rPr>
        <w:t>S</w:t>
      </w:r>
      <w:r w:rsidR="003B512F" w:rsidRPr="00593E4D">
        <w:rPr>
          <w:i/>
          <w:lang w:val="en-US"/>
        </w:rPr>
        <w:t>1.</w:t>
      </w:r>
      <w:r w:rsidR="00593E4D" w:rsidRPr="00593E4D">
        <w:rPr>
          <w:i/>
          <w:lang w:val="en-US"/>
        </w:rPr>
        <w:t>c</w:t>
      </w:r>
      <w:r w:rsidR="003B512F">
        <w:rPr>
          <w:lang w:val="en-US"/>
        </w:rPr>
        <w:t xml:space="preserve">). </w:t>
      </w:r>
      <w:proofErr w:type="gramStart"/>
      <w:r w:rsidR="003F5A83">
        <w:rPr>
          <w:lang w:val="en-US"/>
        </w:rPr>
        <w:t>Compositionally</w:t>
      </w:r>
      <w:proofErr w:type="gramEnd"/>
      <w:r w:rsidR="003F5A83">
        <w:rPr>
          <w:lang w:val="en-US"/>
        </w:rPr>
        <w:t xml:space="preserve"> dense plumes break through the </w:t>
      </w:r>
      <w:r w:rsidR="00C76D93">
        <w:rPr>
          <w:lang w:val="en-US"/>
        </w:rPr>
        <w:t xml:space="preserve">forming upper </w:t>
      </w:r>
      <w:r w:rsidR="003F5A83">
        <w:rPr>
          <w:lang w:val="en-US"/>
        </w:rPr>
        <w:t xml:space="preserve">light layer </w:t>
      </w:r>
      <w:r w:rsidR="00C76D93">
        <w:rPr>
          <w:lang w:val="en-US"/>
        </w:rPr>
        <w:t xml:space="preserve">to transport the </w:t>
      </w:r>
      <w:proofErr w:type="spellStart"/>
      <w:r w:rsidR="00C76D93">
        <w:rPr>
          <w:lang w:val="en-US"/>
        </w:rPr>
        <w:t>nearsurface</w:t>
      </w:r>
      <w:proofErr w:type="spellEnd"/>
      <w:r w:rsidR="00C76D93">
        <w:rPr>
          <w:lang w:val="en-US"/>
        </w:rPr>
        <w:t xml:space="preserve"> remnant of the dense material downward (</w:t>
      </w:r>
      <w:r w:rsidR="00C76D93" w:rsidRPr="00593E4D">
        <w:rPr>
          <w:i/>
          <w:lang w:val="en-US"/>
        </w:rPr>
        <w:t xml:space="preserve">Fig. </w:t>
      </w:r>
      <w:r w:rsidR="00C330B8">
        <w:rPr>
          <w:i/>
          <w:lang w:val="en-US"/>
        </w:rPr>
        <w:t>S</w:t>
      </w:r>
      <w:r w:rsidR="00C76D93" w:rsidRPr="00593E4D">
        <w:rPr>
          <w:i/>
          <w:lang w:val="en-US"/>
        </w:rPr>
        <w:t>1.</w:t>
      </w:r>
      <w:r w:rsidR="00593E4D" w:rsidRPr="00593E4D">
        <w:rPr>
          <w:i/>
          <w:lang w:val="en-US"/>
        </w:rPr>
        <w:t>d</w:t>
      </w:r>
      <w:r w:rsidR="00C76D93">
        <w:rPr>
          <w:lang w:val="en-US"/>
        </w:rPr>
        <w:t>). Snapshots of the concentration field are in accordance with the solutions of marker chain, field and tracer methods</w:t>
      </w:r>
      <w:r w:rsidR="008263A7">
        <w:rPr>
          <w:lang w:val="en-US"/>
        </w:rPr>
        <w:t xml:space="preserve"> presented in the benc</w:t>
      </w:r>
      <w:r w:rsidR="00D85486">
        <w:rPr>
          <w:lang w:val="en-US"/>
        </w:rPr>
        <w:t>hmark paper. Results from COMSOL seem</w:t>
      </w:r>
      <w:r w:rsidR="008263A7">
        <w:rPr>
          <w:lang w:val="en-US"/>
        </w:rPr>
        <w:t xml:space="preserve"> to be qualitatively </w:t>
      </w:r>
      <w:r w:rsidR="00D85486">
        <w:rPr>
          <w:lang w:val="en-US"/>
        </w:rPr>
        <w:t xml:space="preserve">better than </w:t>
      </w:r>
      <w:r w:rsidR="008263A7">
        <w:rPr>
          <w:lang w:val="en-US"/>
        </w:rPr>
        <w:t xml:space="preserve">the </w:t>
      </w:r>
      <w:r w:rsidR="0000381A">
        <w:rPr>
          <w:lang w:val="en-US"/>
        </w:rPr>
        <w:t xml:space="preserve">SK </w:t>
      </w:r>
      <w:r w:rsidR="008263A7">
        <w:rPr>
          <w:lang w:val="en-US"/>
        </w:rPr>
        <w:t>field</w:t>
      </w:r>
      <w:r w:rsidR="00D85486">
        <w:rPr>
          <w:lang w:val="en-US"/>
        </w:rPr>
        <w:t xml:space="preserve"> </w:t>
      </w:r>
      <w:r w:rsidR="003A316B">
        <w:rPr>
          <w:lang w:val="en-US"/>
        </w:rPr>
        <w:t xml:space="preserve">method but </w:t>
      </w:r>
      <w:r w:rsidR="00D85486">
        <w:rPr>
          <w:lang w:val="en-US"/>
        </w:rPr>
        <w:t xml:space="preserve">with smeared transition </w:t>
      </w:r>
      <w:r w:rsidR="00E741F3">
        <w:rPr>
          <w:lang w:val="en-US"/>
        </w:rPr>
        <w:t xml:space="preserve">in the concentration </w:t>
      </w:r>
      <w:r w:rsidR="00D85486">
        <w:rPr>
          <w:lang w:val="en-US"/>
        </w:rPr>
        <w:t>related to the other methods.</w:t>
      </w:r>
    </w:p>
    <w:p w:rsidR="000C3486" w:rsidRDefault="0000381A">
      <w:pPr>
        <w:rPr>
          <w:lang w:val="en-US"/>
        </w:rPr>
      </w:pPr>
      <w:r>
        <w:rPr>
          <w:lang w:val="en-US"/>
        </w:rPr>
        <w:tab/>
      </w:r>
      <w:r w:rsidRPr="00C330B8">
        <w:rPr>
          <w:i/>
          <w:lang w:val="en-US"/>
        </w:rPr>
        <w:t xml:space="preserve">Figure </w:t>
      </w:r>
      <w:r w:rsidR="00C330B8" w:rsidRPr="00C330B8">
        <w:rPr>
          <w:i/>
          <w:lang w:val="en-US"/>
        </w:rPr>
        <w:t>S</w:t>
      </w:r>
      <w:r w:rsidRPr="00C330B8">
        <w:rPr>
          <w:i/>
          <w:lang w:val="en-US"/>
        </w:rPr>
        <w:t>2</w:t>
      </w:r>
      <w:r>
        <w:rPr>
          <w:lang w:val="en-US"/>
        </w:rPr>
        <w:t xml:space="preserve"> shows the root mean square velocity and the entrainment rate as a function of non-dimensional time. The ascension of the first plume with large buoyancy forms the global maximum in velocity, </w:t>
      </w:r>
      <w:proofErr w:type="gramStart"/>
      <w:r>
        <w:rPr>
          <w:lang w:val="en-US"/>
        </w:rPr>
        <w:t>then</w:t>
      </w:r>
      <w:proofErr w:type="gramEnd"/>
      <w:r>
        <w:rPr>
          <w:lang w:val="en-US"/>
        </w:rPr>
        <w:t xml:space="preserve"> the secondary plume on the right side of the box produces the local maximum</w:t>
      </w:r>
      <w:r w:rsidR="00931220">
        <w:rPr>
          <w:lang w:val="en-US"/>
        </w:rPr>
        <w:t xml:space="preserve"> later</w:t>
      </w:r>
      <w:r>
        <w:rPr>
          <w:lang w:val="en-US"/>
        </w:rPr>
        <w:t xml:space="preserve">. The two </w:t>
      </w:r>
      <w:r w:rsidR="001D6204">
        <w:rPr>
          <w:lang w:val="en-US"/>
        </w:rPr>
        <w:t xml:space="preserve">intense </w:t>
      </w:r>
      <w:proofErr w:type="gramStart"/>
      <w:r w:rsidR="001D6204">
        <w:rPr>
          <w:lang w:val="en-US"/>
        </w:rPr>
        <w:t>phase</w:t>
      </w:r>
      <w:proofErr w:type="gramEnd"/>
      <w:r w:rsidR="001D6204">
        <w:rPr>
          <w:lang w:val="en-US"/>
        </w:rPr>
        <w:t xml:space="preserve"> facilitates the mixing resulting in a </w:t>
      </w:r>
      <w:r w:rsidR="002635D4">
        <w:rPr>
          <w:lang w:val="en-US"/>
        </w:rPr>
        <w:t>steep</w:t>
      </w:r>
      <w:r w:rsidR="001D6204">
        <w:rPr>
          <w:lang w:val="en-US"/>
        </w:rPr>
        <w:t xml:space="preserve"> increase </w:t>
      </w:r>
      <w:r w:rsidR="002635D4">
        <w:rPr>
          <w:lang w:val="en-US"/>
        </w:rPr>
        <w:t>of</w:t>
      </w:r>
      <w:r w:rsidR="001D6204">
        <w:rPr>
          <w:lang w:val="en-US"/>
        </w:rPr>
        <w:t xml:space="preserve"> the entrainment. </w:t>
      </w:r>
      <w:r w:rsidR="009230DA">
        <w:rPr>
          <w:lang w:val="en-US"/>
        </w:rPr>
        <w:t xml:space="preserve">The velocity and the entrainment time series are located among the tracer and marker chain methods. As concerns the quantities, the growth rate of the instability is </w:t>
      </w:r>
      <w:r w:rsidR="009230DA">
        <w:rPr>
          <w:lang w:val="en-US"/>
        </w:rPr>
        <w:sym w:font="Symbol" w:char="F067"/>
      </w:r>
      <w:r w:rsidR="009230DA">
        <w:rPr>
          <w:lang w:val="en-US"/>
        </w:rPr>
        <w:t xml:space="preserve">=0.001136, the maximum velocity is </w:t>
      </w:r>
      <w:proofErr w:type="spellStart"/>
      <w:r w:rsidR="009230DA" w:rsidRPr="009230DA">
        <w:rPr>
          <w:i/>
          <w:lang w:val="en-US"/>
        </w:rPr>
        <w:t>v</w:t>
      </w:r>
      <w:r w:rsidR="009230DA" w:rsidRPr="009230DA">
        <w:rPr>
          <w:i/>
          <w:vertAlign w:val="subscript"/>
          <w:lang w:val="en-US"/>
        </w:rPr>
        <w:t>max</w:t>
      </w:r>
      <w:proofErr w:type="spellEnd"/>
      <w:r w:rsidR="009230DA" w:rsidRPr="009230DA">
        <w:rPr>
          <w:lang w:val="en-US"/>
        </w:rPr>
        <w:t>=</w:t>
      </w:r>
      <w:r w:rsidR="009230DA">
        <w:rPr>
          <w:lang w:val="en-US"/>
        </w:rPr>
        <w:t xml:space="preserve">0.003085 and the time at the maximum velocity is </w:t>
      </w:r>
      <w:proofErr w:type="spellStart"/>
      <w:r w:rsidR="009230DA">
        <w:rPr>
          <w:i/>
          <w:lang w:val="en-US"/>
        </w:rPr>
        <w:t>t</w:t>
      </w:r>
      <w:r w:rsidR="009230DA" w:rsidRPr="009230DA">
        <w:rPr>
          <w:i/>
          <w:vertAlign w:val="subscript"/>
          <w:lang w:val="en-US"/>
        </w:rPr>
        <w:t>max</w:t>
      </w:r>
      <w:proofErr w:type="spellEnd"/>
      <w:r w:rsidR="009230DA">
        <w:rPr>
          <w:lang w:val="en-US"/>
        </w:rPr>
        <w:t xml:space="preserve">=208.53. These data agree very well with the results from tracer methods and are </w:t>
      </w:r>
      <w:r w:rsidR="002601EC">
        <w:rPr>
          <w:lang w:val="en-US"/>
        </w:rPr>
        <w:t>a bit further from the results of marker chain and field methods.</w:t>
      </w:r>
    </w:p>
    <w:p w:rsidR="002601EC" w:rsidRDefault="002601EC">
      <w:pPr>
        <w:rPr>
          <w:lang w:val="en-US"/>
        </w:rPr>
      </w:pPr>
      <w:r>
        <w:rPr>
          <w:lang w:val="en-US"/>
        </w:rPr>
        <w:tab/>
      </w:r>
      <w:r w:rsidR="00895437">
        <w:rPr>
          <w:lang w:val="en-US"/>
        </w:rPr>
        <w:t xml:space="preserve">Test 2 was accomplished to investigate the mixing of the dense material </w:t>
      </w:r>
      <w:r w:rsidR="002225C5">
        <w:rPr>
          <w:lang w:val="en-US"/>
        </w:rPr>
        <w:t>by thermal convection.</w:t>
      </w:r>
      <w:r w:rsidR="00895437">
        <w:rPr>
          <w:lang w:val="en-US"/>
        </w:rPr>
        <w:t xml:space="preserve"> </w:t>
      </w:r>
      <w:r w:rsidR="002225C5">
        <w:rPr>
          <w:lang w:val="en-US"/>
        </w:rPr>
        <w:t>The compositionally dense layer with a thickness of 0.025 was positioned at the bottom of the mod</w:t>
      </w:r>
      <w:r w:rsidR="00E32D42">
        <w:rPr>
          <w:lang w:val="en-US"/>
        </w:rPr>
        <w:t xml:space="preserve">el box with an aspect ratio of </w:t>
      </w:r>
      <w:r w:rsidR="002225C5">
        <w:rPr>
          <w:lang w:val="en-US"/>
        </w:rPr>
        <w:t>1</w:t>
      </w:r>
      <w:r w:rsidR="002225C5">
        <w:rPr>
          <w:lang w:val="en-US"/>
        </w:rPr>
        <w:sym w:font="Symbol" w:char="F0B4"/>
      </w:r>
      <w:r w:rsidR="002225C5">
        <w:rPr>
          <w:lang w:val="en-US"/>
        </w:rPr>
        <w:t xml:space="preserve">2. The non-dimensional numbers characterizing the thermo-chemical system in </w:t>
      </w:r>
      <w:proofErr w:type="spellStart"/>
      <w:r w:rsidR="002225C5">
        <w:rPr>
          <w:lang w:val="en-US"/>
        </w:rPr>
        <w:t>Boussinesq</w:t>
      </w:r>
      <w:proofErr w:type="spellEnd"/>
      <w:r w:rsidR="002225C5">
        <w:rPr>
          <w:lang w:val="en-US"/>
        </w:rPr>
        <w:t xml:space="preserve"> approximation were </w:t>
      </w:r>
      <w:r w:rsidR="002225C5" w:rsidRPr="000C3486">
        <w:rPr>
          <w:i/>
          <w:lang w:val="en-US"/>
        </w:rPr>
        <w:t>R</w:t>
      </w:r>
      <w:r w:rsidR="002225C5" w:rsidRPr="002225C5">
        <w:rPr>
          <w:i/>
          <w:lang w:val="en-US"/>
        </w:rPr>
        <w:t>a</w:t>
      </w:r>
      <w:r w:rsidR="002225C5">
        <w:rPr>
          <w:lang w:val="en-US"/>
        </w:rPr>
        <w:t>=3</w:t>
      </w:r>
      <w:r w:rsidR="002225C5">
        <w:rPr>
          <w:lang w:val="en-US"/>
        </w:rPr>
        <w:sym w:font="Symbol" w:char="F0D7"/>
      </w:r>
      <w:r w:rsidR="002225C5">
        <w:rPr>
          <w:lang w:val="en-US"/>
        </w:rPr>
        <w:t>10</w:t>
      </w:r>
      <w:r w:rsidR="002225C5" w:rsidRPr="002225C5">
        <w:rPr>
          <w:vertAlign w:val="superscript"/>
          <w:lang w:val="en-US"/>
        </w:rPr>
        <w:t>5</w:t>
      </w:r>
      <w:r w:rsidR="002225C5">
        <w:rPr>
          <w:lang w:val="en-US"/>
        </w:rPr>
        <w:t xml:space="preserve"> and </w:t>
      </w:r>
      <w:proofErr w:type="spellStart"/>
      <w:r w:rsidR="002225C5" w:rsidRPr="000C3486">
        <w:rPr>
          <w:i/>
          <w:lang w:val="en-US"/>
        </w:rPr>
        <w:t>R</w:t>
      </w:r>
      <w:r w:rsidR="002225C5" w:rsidRPr="002225C5">
        <w:rPr>
          <w:i/>
          <w:lang w:val="en-US"/>
        </w:rPr>
        <w:t>b</w:t>
      </w:r>
      <w:proofErr w:type="spellEnd"/>
      <w:r w:rsidR="002225C5">
        <w:rPr>
          <w:lang w:val="en-US"/>
        </w:rPr>
        <w:t>=4.5</w:t>
      </w:r>
      <w:r w:rsidR="002225C5">
        <w:rPr>
          <w:lang w:val="en-US"/>
        </w:rPr>
        <w:sym w:font="Symbol" w:char="F0D7"/>
      </w:r>
      <w:r w:rsidR="002225C5">
        <w:rPr>
          <w:lang w:val="en-US"/>
        </w:rPr>
        <w:t>10</w:t>
      </w:r>
      <w:r w:rsidR="002225C5" w:rsidRPr="002225C5">
        <w:rPr>
          <w:vertAlign w:val="superscript"/>
          <w:lang w:val="en-US"/>
        </w:rPr>
        <w:t>5</w:t>
      </w:r>
      <w:r w:rsidR="002225C5">
        <w:rPr>
          <w:lang w:val="en-US"/>
        </w:rPr>
        <w:t xml:space="preserve"> (buoyancy ratio is </w:t>
      </w:r>
      <w:r w:rsidR="002225C5" w:rsidRPr="002225C5">
        <w:rPr>
          <w:i/>
          <w:lang w:val="en-US"/>
        </w:rPr>
        <w:t>B</w:t>
      </w:r>
      <w:r w:rsidR="002225C5">
        <w:rPr>
          <w:lang w:val="en-US"/>
        </w:rPr>
        <w:t>=</w:t>
      </w:r>
      <w:proofErr w:type="spellStart"/>
      <w:r w:rsidR="002225C5" w:rsidRPr="002225C5">
        <w:rPr>
          <w:i/>
          <w:lang w:val="en-US"/>
        </w:rPr>
        <w:t>Rb</w:t>
      </w:r>
      <w:proofErr w:type="spellEnd"/>
      <w:r w:rsidR="002225C5">
        <w:rPr>
          <w:lang w:val="en-US"/>
        </w:rPr>
        <w:t>/</w:t>
      </w:r>
      <w:r w:rsidR="002225C5" w:rsidRPr="002225C5">
        <w:rPr>
          <w:i/>
          <w:lang w:val="en-US"/>
        </w:rPr>
        <w:t>Ra</w:t>
      </w:r>
      <w:r w:rsidR="002225C5">
        <w:rPr>
          <w:lang w:val="en-US"/>
        </w:rPr>
        <w:t>=1.5)</w:t>
      </w:r>
      <w:r w:rsidR="003C24C4">
        <w:rPr>
          <w:lang w:val="en-US"/>
        </w:rPr>
        <w:t xml:space="preserve">, and the Lewis number which is the ratio of the thermal and chemical diffusivity was </w:t>
      </w:r>
      <w:r w:rsidR="003C24C4">
        <w:rPr>
          <w:i/>
          <w:lang w:val="en-US"/>
        </w:rPr>
        <w:t>Le</w:t>
      </w:r>
      <w:r w:rsidR="003C24C4">
        <w:rPr>
          <w:lang w:val="en-US"/>
        </w:rPr>
        <w:t>=10</w:t>
      </w:r>
      <w:r w:rsidR="003C24C4" w:rsidRPr="003C24C4">
        <w:rPr>
          <w:vertAlign w:val="superscript"/>
          <w:lang w:val="en-US"/>
        </w:rPr>
        <w:t>14</w:t>
      </w:r>
      <w:r w:rsidR="003C24C4">
        <w:rPr>
          <w:lang w:val="en-US"/>
        </w:rPr>
        <w:t xml:space="preserve"> during the simulation</w:t>
      </w:r>
      <w:r w:rsidR="002225C5">
        <w:rPr>
          <w:lang w:val="en-US"/>
        </w:rPr>
        <w:t xml:space="preserve">. </w:t>
      </w:r>
      <w:r w:rsidR="00055E85">
        <w:rPr>
          <w:lang w:val="en-US"/>
        </w:rPr>
        <w:t xml:space="preserve">The velocity and the entrainment time series as well as five snapshots of the composition field were used to qualify the method. </w:t>
      </w:r>
      <w:r w:rsidR="00E32D42">
        <w:rPr>
          <w:lang w:val="en-US"/>
        </w:rPr>
        <w:t>The entrainment was</w:t>
      </w:r>
      <w:r w:rsidR="00312092">
        <w:rPr>
          <w:lang w:val="en-US"/>
        </w:rPr>
        <w:t xml:space="preserve"> calculated for the domain</w:t>
      </w:r>
      <w:r w:rsidR="00B00EE5">
        <w:rPr>
          <w:lang w:val="en-US"/>
        </w:rPr>
        <w:t xml:space="preserve"> between 0.2 and the surface. Because the dense layer </w:t>
      </w:r>
      <w:r w:rsidR="001C0113">
        <w:rPr>
          <w:lang w:val="en-US"/>
        </w:rPr>
        <w:t xml:space="preserve">was thin </w:t>
      </w:r>
      <w:r w:rsidR="00B00EE5">
        <w:rPr>
          <w:lang w:val="en-US"/>
        </w:rPr>
        <w:t xml:space="preserve">higher resolution was </w:t>
      </w:r>
      <w:r w:rsidR="001C0113">
        <w:rPr>
          <w:lang w:val="en-US"/>
        </w:rPr>
        <w:t>applied</w:t>
      </w:r>
      <w:r w:rsidR="00B00EE5">
        <w:rPr>
          <w:lang w:val="en-US"/>
        </w:rPr>
        <w:t xml:space="preserve">, </w:t>
      </w:r>
      <w:r w:rsidR="000E65B3">
        <w:rPr>
          <w:lang w:val="en-US"/>
        </w:rPr>
        <w:t xml:space="preserve">the maximum </w:t>
      </w:r>
      <w:r w:rsidR="000E65B3" w:rsidRPr="00E90630">
        <w:rPr>
          <w:lang w:val="en-US"/>
        </w:rPr>
        <w:t>element size was 0.0051 and 0.0017 above and below</w:t>
      </w:r>
      <w:r w:rsidR="00E32D42" w:rsidRPr="00E90630">
        <w:rPr>
          <w:lang w:val="en-US"/>
        </w:rPr>
        <w:t xml:space="preserve"> the depth of </w:t>
      </w:r>
      <w:r w:rsidR="000E65B3" w:rsidRPr="00E90630">
        <w:rPr>
          <w:lang w:val="en-US"/>
        </w:rPr>
        <w:t>0.2, respectively</w:t>
      </w:r>
      <w:r w:rsidR="000E65B3">
        <w:rPr>
          <w:lang w:val="en-US"/>
        </w:rPr>
        <w:t>.</w:t>
      </w:r>
    </w:p>
    <w:p w:rsidR="000E65B3" w:rsidRDefault="000E65B3">
      <w:pPr>
        <w:rPr>
          <w:lang w:val="en-US"/>
        </w:rPr>
      </w:pPr>
      <w:r>
        <w:rPr>
          <w:lang w:val="en-US"/>
        </w:rPr>
        <w:tab/>
      </w:r>
      <w:r w:rsidR="006056E4" w:rsidRPr="001C0113">
        <w:rPr>
          <w:i/>
          <w:lang w:val="en-US"/>
        </w:rPr>
        <w:t xml:space="preserve">Figure </w:t>
      </w:r>
      <w:r w:rsidR="001C0113">
        <w:rPr>
          <w:i/>
          <w:lang w:val="en-US"/>
        </w:rPr>
        <w:t>S</w:t>
      </w:r>
      <w:r w:rsidR="006056E4" w:rsidRPr="001C0113">
        <w:rPr>
          <w:i/>
          <w:lang w:val="en-US"/>
        </w:rPr>
        <w:t>3</w:t>
      </w:r>
      <w:r w:rsidR="006056E4">
        <w:rPr>
          <w:lang w:val="en-US"/>
        </w:rPr>
        <w:t xml:space="preserve"> displays the evolution of the compositionally dense layer. At time of </w:t>
      </w:r>
      <w:r w:rsidR="006056E4">
        <w:rPr>
          <w:i/>
          <w:lang w:val="en-US"/>
        </w:rPr>
        <w:t>t</w:t>
      </w:r>
      <w:r w:rsidR="006056E4">
        <w:rPr>
          <w:lang w:val="en-US"/>
        </w:rPr>
        <w:t xml:space="preserve">=0.01 the concentration distribution qualitatively agrees </w:t>
      </w:r>
      <w:r w:rsidR="00593E4D">
        <w:rPr>
          <w:lang w:val="en-US"/>
        </w:rPr>
        <w:t xml:space="preserve">well </w:t>
      </w:r>
      <w:r w:rsidR="006056E4">
        <w:rPr>
          <w:lang w:val="en-US"/>
        </w:rPr>
        <w:t xml:space="preserve">with the solutions from the other methods. From </w:t>
      </w:r>
      <w:r w:rsidR="006056E4">
        <w:rPr>
          <w:i/>
          <w:lang w:val="en-US"/>
        </w:rPr>
        <w:t>t</w:t>
      </w:r>
      <w:r w:rsidR="006056E4">
        <w:rPr>
          <w:lang w:val="en-US"/>
        </w:rPr>
        <w:t xml:space="preserve">=0.015 results becomes diverging, at </w:t>
      </w:r>
      <w:r w:rsidR="006056E4">
        <w:rPr>
          <w:i/>
          <w:lang w:val="en-US"/>
        </w:rPr>
        <w:t>t</w:t>
      </w:r>
      <w:r w:rsidR="006056E4">
        <w:rPr>
          <w:lang w:val="en-US"/>
        </w:rPr>
        <w:t>=0.02–0.04 our solution is comparable to the HS tracer and SK field methods. At the end of the model run</w:t>
      </w:r>
      <w:r w:rsidR="00603733">
        <w:rPr>
          <w:lang w:val="en-US"/>
        </w:rPr>
        <w:t xml:space="preserve"> (</w:t>
      </w:r>
      <w:r w:rsidR="00603733">
        <w:rPr>
          <w:i/>
          <w:lang w:val="en-US"/>
        </w:rPr>
        <w:t>t</w:t>
      </w:r>
      <w:r w:rsidR="00603733">
        <w:rPr>
          <w:lang w:val="en-US"/>
        </w:rPr>
        <w:t>=0.05)</w:t>
      </w:r>
      <w:r w:rsidR="006056E4">
        <w:rPr>
          <w:lang w:val="en-US"/>
        </w:rPr>
        <w:t xml:space="preserve"> COMSOL </w:t>
      </w:r>
      <w:r w:rsidR="006056E4">
        <w:rPr>
          <w:lang w:val="en-US"/>
        </w:rPr>
        <w:lastRenderedPageBreak/>
        <w:t>produces more intense mixing than other methods and results in only a small part of the dense material in the lower domain.</w:t>
      </w:r>
      <w:r w:rsidR="00603733">
        <w:rPr>
          <w:lang w:val="en-US"/>
        </w:rPr>
        <w:t xml:space="preserve"> </w:t>
      </w:r>
      <w:r w:rsidR="00984047" w:rsidRPr="001C0113">
        <w:rPr>
          <w:i/>
          <w:lang w:val="en-US"/>
        </w:rPr>
        <w:t xml:space="preserve">Figure </w:t>
      </w:r>
      <w:r w:rsidR="001C0113">
        <w:rPr>
          <w:i/>
          <w:lang w:val="en-US"/>
        </w:rPr>
        <w:t>S</w:t>
      </w:r>
      <w:r w:rsidR="00984047" w:rsidRPr="001C0113">
        <w:rPr>
          <w:i/>
          <w:lang w:val="en-US"/>
        </w:rPr>
        <w:t>4</w:t>
      </w:r>
      <w:r w:rsidR="00984047">
        <w:rPr>
          <w:lang w:val="en-US"/>
        </w:rPr>
        <w:t xml:space="preserve"> illustrates the velocity and the entrainment rate time series. </w:t>
      </w:r>
      <w:r w:rsidR="00603733">
        <w:rPr>
          <w:lang w:val="en-US"/>
        </w:rPr>
        <w:t xml:space="preserve">Velocity agrees with the results from other methods </w:t>
      </w:r>
      <w:r w:rsidR="00984047">
        <w:rPr>
          <w:lang w:val="en-US"/>
        </w:rPr>
        <w:t>to</w:t>
      </w:r>
      <w:r w:rsidR="00603733">
        <w:rPr>
          <w:lang w:val="en-US"/>
        </w:rPr>
        <w:t xml:space="preserve"> </w:t>
      </w:r>
      <w:r w:rsidR="00603733">
        <w:rPr>
          <w:i/>
          <w:lang w:val="en-US"/>
        </w:rPr>
        <w:t>t</w:t>
      </w:r>
      <w:r w:rsidR="00603733">
        <w:rPr>
          <w:lang w:val="en-US"/>
        </w:rPr>
        <w:t xml:space="preserve">=0.015, from where the solutions start </w:t>
      </w:r>
      <w:r w:rsidR="00984047">
        <w:rPr>
          <w:lang w:val="en-US"/>
        </w:rPr>
        <w:t xml:space="preserve">diverging from each other. The entrainment rate confirms the conclusions from concentration snapshots, i.e. </w:t>
      </w:r>
      <w:proofErr w:type="gramStart"/>
      <w:r w:rsidR="00A02A10">
        <w:rPr>
          <w:i/>
          <w:lang w:val="en-US"/>
        </w:rPr>
        <w:t>e</w:t>
      </w:r>
      <w:r w:rsidR="00A02A10">
        <w:rPr>
          <w:lang w:val="en-US"/>
        </w:rPr>
        <w:t>(</w:t>
      </w:r>
      <w:proofErr w:type="gramEnd"/>
      <w:r w:rsidR="00A02A10">
        <w:rPr>
          <w:i/>
          <w:lang w:val="en-US"/>
        </w:rPr>
        <w:t>t</w:t>
      </w:r>
      <w:r w:rsidR="00A02A10">
        <w:rPr>
          <w:lang w:val="en-US"/>
        </w:rPr>
        <w:t xml:space="preserve">) is comparable to </w:t>
      </w:r>
      <w:r w:rsidR="00D830C7">
        <w:rPr>
          <w:lang w:val="en-US"/>
        </w:rPr>
        <w:t xml:space="preserve">HS tracer and SK field methods to </w:t>
      </w:r>
      <w:r w:rsidR="00D830C7">
        <w:rPr>
          <w:i/>
          <w:lang w:val="en-US"/>
        </w:rPr>
        <w:t>t</w:t>
      </w:r>
      <w:r w:rsidR="00D830C7">
        <w:rPr>
          <w:lang w:val="en-US"/>
        </w:rPr>
        <w:t>=0.4, then the entrainment accelerates related to the other methods.</w:t>
      </w:r>
    </w:p>
    <w:p w:rsidR="00253499" w:rsidRDefault="00253499">
      <w:pPr>
        <w:rPr>
          <w:lang w:val="en-US"/>
        </w:rPr>
      </w:pPr>
    </w:p>
    <w:p w:rsidR="00253499" w:rsidRDefault="00253499">
      <w:pPr>
        <w:rPr>
          <w:lang w:val="en-US"/>
        </w:rPr>
      </w:pPr>
      <w:r>
        <w:rPr>
          <w:lang w:val="en-US"/>
        </w:rPr>
        <w:t>References</w:t>
      </w:r>
    </w:p>
    <w:p w:rsidR="00253499" w:rsidRDefault="001C0113">
      <w:pPr>
        <w:rPr>
          <w:lang w:val="en-US"/>
        </w:rPr>
      </w:pPr>
      <w:r>
        <w:rPr>
          <w:lang w:val="en-US"/>
        </w:rPr>
        <w:t>V</w:t>
      </w:r>
      <w:r w:rsidR="00253499">
        <w:rPr>
          <w:lang w:val="en-US"/>
        </w:rPr>
        <w:t xml:space="preserve">an </w:t>
      </w:r>
      <w:proofErr w:type="spellStart"/>
      <w:r w:rsidR="00253499">
        <w:rPr>
          <w:lang w:val="en-US"/>
        </w:rPr>
        <w:t>Keken</w:t>
      </w:r>
      <w:proofErr w:type="spellEnd"/>
      <w:r w:rsidR="00253499">
        <w:rPr>
          <w:lang w:val="en-US"/>
        </w:rPr>
        <w:t xml:space="preserve">, P. E., King, S. D., </w:t>
      </w:r>
      <w:proofErr w:type="spellStart"/>
      <w:r w:rsidR="00253499">
        <w:rPr>
          <w:lang w:val="en-US"/>
        </w:rPr>
        <w:t>Schmeling</w:t>
      </w:r>
      <w:proofErr w:type="spellEnd"/>
      <w:r w:rsidR="00253499">
        <w:rPr>
          <w:lang w:val="en-US"/>
        </w:rPr>
        <w:t xml:space="preserve">, H., Christensen, U. R., </w:t>
      </w:r>
      <w:proofErr w:type="spellStart"/>
      <w:r w:rsidR="00253499">
        <w:rPr>
          <w:lang w:val="en-US"/>
        </w:rPr>
        <w:t>Neumeister</w:t>
      </w:r>
      <w:proofErr w:type="spellEnd"/>
      <w:r w:rsidR="00253499">
        <w:rPr>
          <w:lang w:val="en-US"/>
        </w:rPr>
        <w:t xml:space="preserve">, D., and </w:t>
      </w:r>
      <w:proofErr w:type="spellStart"/>
      <w:r w:rsidR="00253499">
        <w:rPr>
          <w:lang w:val="en-US"/>
        </w:rPr>
        <w:t>Doin</w:t>
      </w:r>
      <w:proofErr w:type="spellEnd"/>
      <w:r w:rsidR="00253499">
        <w:rPr>
          <w:lang w:val="en-US"/>
        </w:rPr>
        <w:t xml:space="preserve">, M.-P.: A comparison of methods for the modeling of </w:t>
      </w:r>
      <w:proofErr w:type="spellStart"/>
      <w:r w:rsidR="00253499">
        <w:rPr>
          <w:lang w:val="en-US"/>
        </w:rPr>
        <w:t>thermochemical</w:t>
      </w:r>
      <w:proofErr w:type="spellEnd"/>
      <w:r w:rsidR="00253499">
        <w:rPr>
          <w:lang w:val="en-US"/>
        </w:rPr>
        <w:t xml:space="preserve"> convection, J. </w:t>
      </w:r>
      <w:proofErr w:type="spellStart"/>
      <w:r w:rsidR="00253499">
        <w:rPr>
          <w:lang w:val="en-US"/>
        </w:rPr>
        <w:t>Geophys</w:t>
      </w:r>
      <w:proofErr w:type="spellEnd"/>
      <w:r w:rsidR="00253499">
        <w:rPr>
          <w:lang w:val="en-US"/>
        </w:rPr>
        <w:t xml:space="preserve">. </w:t>
      </w:r>
      <w:proofErr w:type="gramStart"/>
      <w:r w:rsidR="00253499">
        <w:rPr>
          <w:lang w:val="en-US"/>
        </w:rPr>
        <w:t>Res., 102, 22477–22495, 1997.</w:t>
      </w:r>
      <w:proofErr w:type="gramEnd"/>
    </w:p>
    <w:p w:rsidR="00253499" w:rsidRDefault="00253499">
      <w:pPr>
        <w:rPr>
          <w:lang w:val="en-US"/>
        </w:rPr>
      </w:pPr>
    </w:p>
    <w:p w:rsidR="00253499" w:rsidRDefault="00900A7B">
      <w:pPr>
        <w:rPr>
          <w:lang w:val="en-US"/>
        </w:rPr>
      </w:pPr>
      <w:r>
        <w:rPr>
          <w:lang w:val="en-US"/>
        </w:rPr>
        <w:t>Figure captions</w:t>
      </w:r>
    </w:p>
    <w:p w:rsidR="00900A7B" w:rsidRDefault="00900A7B">
      <w:pPr>
        <w:rPr>
          <w:lang w:val="en-US"/>
        </w:rPr>
      </w:pPr>
    </w:p>
    <w:p w:rsidR="00900A7B" w:rsidRDefault="00900A7B">
      <w:pPr>
        <w:rPr>
          <w:lang w:val="en-US"/>
        </w:rPr>
      </w:pPr>
      <w:r>
        <w:rPr>
          <w:lang w:val="en-US"/>
        </w:rPr>
        <w:t xml:space="preserve">Figure </w:t>
      </w:r>
      <w:r w:rsidR="001C0113">
        <w:rPr>
          <w:lang w:val="en-US"/>
        </w:rPr>
        <w:t>S</w:t>
      </w:r>
      <w:r>
        <w:rPr>
          <w:lang w:val="en-US"/>
        </w:rPr>
        <w:t>1</w:t>
      </w:r>
    </w:p>
    <w:p w:rsidR="00900A7B" w:rsidRDefault="00900A7B">
      <w:pPr>
        <w:rPr>
          <w:lang w:val="en-US"/>
        </w:rPr>
      </w:pPr>
      <w:r>
        <w:rPr>
          <w:lang w:val="en-US"/>
        </w:rPr>
        <w:t>Snapshots of the concentration field during the Rayleigh-Taylor instability test.</w:t>
      </w:r>
    </w:p>
    <w:p w:rsidR="00900A7B" w:rsidRDefault="00900A7B">
      <w:pPr>
        <w:rPr>
          <w:lang w:val="en-US"/>
        </w:rPr>
      </w:pPr>
    </w:p>
    <w:p w:rsidR="00900A7B" w:rsidRDefault="00900A7B">
      <w:pPr>
        <w:rPr>
          <w:lang w:val="en-US"/>
        </w:rPr>
      </w:pPr>
      <w:r>
        <w:rPr>
          <w:lang w:val="en-US"/>
        </w:rPr>
        <w:t xml:space="preserve">Figure </w:t>
      </w:r>
      <w:r w:rsidR="001C0113">
        <w:rPr>
          <w:lang w:val="en-US"/>
        </w:rPr>
        <w:t>S</w:t>
      </w:r>
      <w:r>
        <w:rPr>
          <w:lang w:val="en-US"/>
        </w:rPr>
        <w:t>2</w:t>
      </w:r>
    </w:p>
    <w:p w:rsidR="00900A7B" w:rsidRDefault="00900A7B">
      <w:pPr>
        <w:rPr>
          <w:lang w:val="en-US"/>
        </w:rPr>
      </w:pPr>
      <w:r>
        <w:rPr>
          <w:lang w:val="en-US"/>
        </w:rPr>
        <w:t xml:space="preserve">Root mean square velocity and entrainment rate </w:t>
      </w:r>
      <w:r w:rsidR="00290B31">
        <w:rPr>
          <w:lang w:val="en-US"/>
        </w:rPr>
        <w:t xml:space="preserve">time series </w:t>
      </w:r>
      <w:r>
        <w:rPr>
          <w:lang w:val="en-US"/>
        </w:rPr>
        <w:t>during the Rayleigh-Taylor instability test.</w:t>
      </w:r>
    </w:p>
    <w:p w:rsidR="00900A7B" w:rsidRDefault="00900A7B">
      <w:pPr>
        <w:rPr>
          <w:lang w:val="en-US"/>
        </w:rPr>
      </w:pPr>
    </w:p>
    <w:p w:rsidR="00900A7B" w:rsidRDefault="00900A7B" w:rsidP="00900A7B">
      <w:pPr>
        <w:rPr>
          <w:lang w:val="en-US"/>
        </w:rPr>
      </w:pPr>
      <w:r>
        <w:rPr>
          <w:lang w:val="en-US"/>
        </w:rPr>
        <w:t xml:space="preserve">Figure </w:t>
      </w:r>
      <w:r w:rsidR="001C0113">
        <w:rPr>
          <w:lang w:val="en-US"/>
        </w:rPr>
        <w:t>S</w:t>
      </w:r>
      <w:r>
        <w:rPr>
          <w:lang w:val="en-US"/>
        </w:rPr>
        <w:t>3</w:t>
      </w:r>
    </w:p>
    <w:p w:rsidR="00900A7B" w:rsidRDefault="00900A7B" w:rsidP="00900A7B">
      <w:pPr>
        <w:rPr>
          <w:lang w:val="en-US"/>
        </w:rPr>
      </w:pPr>
      <w:r>
        <w:rPr>
          <w:lang w:val="en-US"/>
        </w:rPr>
        <w:t>Snapshots of the concentration field during the thermo-chemical instability test.</w:t>
      </w:r>
    </w:p>
    <w:p w:rsidR="00900A7B" w:rsidRDefault="00900A7B" w:rsidP="00900A7B">
      <w:pPr>
        <w:rPr>
          <w:lang w:val="en-US"/>
        </w:rPr>
      </w:pPr>
    </w:p>
    <w:p w:rsidR="00900A7B" w:rsidRDefault="00900A7B" w:rsidP="00900A7B">
      <w:pPr>
        <w:rPr>
          <w:lang w:val="en-US"/>
        </w:rPr>
      </w:pPr>
      <w:r>
        <w:rPr>
          <w:lang w:val="en-US"/>
        </w:rPr>
        <w:t xml:space="preserve">Figure </w:t>
      </w:r>
      <w:r w:rsidR="001C0113">
        <w:rPr>
          <w:lang w:val="en-US"/>
        </w:rPr>
        <w:t>S</w:t>
      </w:r>
      <w:r w:rsidR="00290B31">
        <w:rPr>
          <w:lang w:val="en-US"/>
        </w:rPr>
        <w:t>4</w:t>
      </w:r>
    </w:p>
    <w:p w:rsidR="00900A7B" w:rsidRDefault="00900A7B" w:rsidP="00900A7B">
      <w:pPr>
        <w:rPr>
          <w:lang w:val="en-US"/>
        </w:rPr>
      </w:pPr>
      <w:r>
        <w:rPr>
          <w:lang w:val="en-US"/>
        </w:rPr>
        <w:t xml:space="preserve">Root mean square velocity and entrainment rate </w:t>
      </w:r>
      <w:r w:rsidR="00290B31">
        <w:rPr>
          <w:lang w:val="en-US"/>
        </w:rPr>
        <w:t xml:space="preserve">time series </w:t>
      </w:r>
      <w:r>
        <w:rPr>
          <w:lang w:val="en-US"/>
        </w:rPr>
        <w:t xml:space="preserve">during </w:t>
      </w:r>
      <w:r w:rsidR="00290B31">
        <w:rPr>
          <w:lang w:val="en-US"/>
        </w:rPr>
        <w:t>the thermo-chemical instability test.</w:t>
      </w:r>
    </w:p>
    <w:p w:rsidR="00900A7B" w:rsidRPr="00D830C7" w:rsidRDefault="00900A7B">
      <w:pPr>
        <w:rPr>
          <w:lang w:val="en-US"/>
        </w:rPr>
      </w:pPr>
    </w:p>
    <w:sectPr w:rsidR="00900A7B" w:rsidRPr="00D830C7" w:rsidSect="00D779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2A0CBB"/>
    <w:rsid w:val="0000381A"/>
    <w:rsid w:val="00030A19"/>
    <w:rsid w:val="00055E85"/>
    <w:rsid w:val="000856B4"/>
    <w:rsid w:val="000C3486"/>
    <w:rsid w:val="000E65B3"/>
    <w:rsid w:val="000F0424"/>
    <w:rsid w:val="001B036F"/>
    <w:rsid w:val="001C0113"/>
    <w:rsid w:val="001D6204"/>
    <w:rsid w:val="002225C5"/>
    <w:rsid w:val="00253499"/>
    <w:rsid w:val="002601EC"/>
    <w:rsid w:val="002635D4"/>
    <w:rsid w:val="00290B31"/>
    <w:rsid w:val="002A0CBB"/>
    <w:rsid w:val="00312092"/>
    <w:rsid w:val="003A316B"/>
    <w:rsid w:val="003B512F"/>
    <w:rsid w:val="003C24C4"/>
    <w:rsid w:val="003F5A83"/>
    <w:rsid w:val="00431282"/>
    <w:rsid w:val="00593E4D"/>
    <w:rsid w:val="00603733"/>
    <w:rsid w:val="006056E4"/>
    <w:rsid w:val="006E75D3"/>
    <w:rsid w:val="007964B6"/>
    <w:rsid w:val="0081212E"/>
    <w:rsid w:val="008263A7"/>
    <w:rsid w:val="00862916"/>
    <w:rsid w:val="00895437"/>
    <w:rsid w:val="00900A7B"/>
    <w:rsid w:val="009230DA"/>
    <w:rsid w:val="00931220"/>
    <w:rsid w:val="0093193E"/>
    <w:rsid w:val="00984047"/>
    <w:rsid w:val="00984309"/>
    <w:rsid w:val="009D3803"/>
    <w:rsid w:val="00A02A10"/>
    <w:rsid w:val="00A77307"/>
    <w:rsid w:val="00AF63D7"/>
    <w:rsid w:val="00B00EE5"/>
    <w:rsid w:val="00C330B8"/>
    <w:rsid w:val="00C61938"/>
    <w:rsid w:val="00C76D93"/>
    <w:rsid w:val="00C90021"/>
    <w:rsid w:val="00D77975"/>
    <w:rsid w:val="00D830C7"/>
    <w:rsid w:val="00D85486"/>
    <w:rsid w:val="00DA174F"/>
    <w:rsid w:val="00DB6380"/>
    <w:rsid w:val="00E32D42"/>
    <w:rsid w:val="00E741F3"/>
    <w:rsid w:val="00E90630"/>
    <w:rsid w:val="00E94717"/>
    <w:rsid w:val="00EB2F86"/>
    <w:rsid w:val="00EF1372"/>
    <w:rsid w:val="00F354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B2F86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D78B04-A820-47B5-8218-3DBE66A81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677</TotalTime>
  <Pages>2</Pages>
  <Words>664</Words>
  <Characters>4584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Galsa Attila</dc:creator>
  <cp:lastModifiedBy>Galsa Attila</cp:lastModifiedBy>
  <cp:revision>34</cp:revision>
  <cp:lastPrinted>2014-11-07T10:57:00Z</cp:lastPrinted>
  <dcterms:created xsi:type="dcterms:W3CDTF">2014-11-05T09:00:00Z</dcterms:created>
  <dcterms:modified xsi:type="dcterms:W3CDTF">2014-11-18T09:22:00Z</dcterms:modified>
</cp:coreProperties>
</file>