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47776" w14:textId="4DA9598C" w:rsidR="0035158C" w:rsidRPr="00C00828" w:rsidRDefault="00720444" w:rsidP="0040478C">
      <w:pPr>
        <w:spacing w:after="200" w:line="276" w:lineRule="auto"/>
        <w:jc w:val="both"/>
        <w:rPr>
          <w:b/>
          <w:sz w:val="28"/>
          <w:szCs w:val="28"/>
        </w:rPr>
      </w:pPr>
      <w:bookmarkStart w:id="0" w:name="_GoBack"/>
      <w:r>
        <w:rPr>
          <w:b/>
          <w:sz w:val="28"/>
          <w:szCs w:val="28"/>
        </w:rPr>
        <w:t xml:space="preserve">Bimodal or </w:t>
      </w:r>
      <w:proofErr w:type="spellStart"/>
      <w:r>
        <w:rPr>
          <w:b/>
          <w:sz w:val="28"/>
          <w:szCs w:val="28"/>
        </w:rPr>
        <w:t>quadrimodal</w:t>
      </w:r>
      <w:proofErr w:type="spellEnd"/>
      <w:r>
        <w:rPr>
          <w:b/>
          <w:sz w:val="28"/>
          <w:szCs w:val="28"/>
        </w:rPr>
        <w:t>? Statistical t</w:t>
      </w:r>
      <w:r w:rsidR="00AE31E4">
        <w:rPr>
          <w:b/>
          <w:sz w:val="28"/>
          <w:szCs w:val="28"/>
        </w:rPr>
        <w:t>est</w:t>
      </w:r>
      <w:r>
        <w:rPr>
          <w:b/>
          <w:sz w:val="28"/>
          <w:szCs w:val="28"/>
        </w:rPr>
        <w:t>s</w:t>
      </w:r>
      <w:r w:rsidR="00AE31E4">
        <w:rPr>
          <w:b/>
          <w:sz w:val="28"/>
          <w:szCs w:val="28"/>
        </w:rPr>
        <w:t xml:space="preserve"> </w:t>
      </w:r>
      <w:r w:rsidR="00236A32">
        <w:rPr>
          <w:b/>
          <w:sz w:val="28"/>
          <w:szCs w:val="28"/>
        </w:rPr>
        <w:t>for</w:t>
      </w:r>
      <w:r>
        <w:rPr>
          <w:b/>
          <w:sz w:val="28"/>
          <w:szCs w:val="28"/>
        </w:rPr>
        <w:t xml:space="preserve"> the shape </w:t>
      </w:r>
      <w:r w:rsidR="00AE31E4">
        <w:rPr>
          <w:b/>
          <w:sz w:val="28"/>
          <w:szCs w:val="28"/>
        </w:rPr>
        <w:t>of</w:t>
      </w:r>
      <w:r w:rsidR="0035158C" w:rsidRPr="00C00828">
        <w:rPr>
          <w:b/>
          <w:sz w:val="28"/>
          <w:szCs w:val="28"/>
        </w:rPr>
        <w:t xml:space="preserve"> fault</w:t>
      </w:r>
      <w:r w:rsidR="001724A1">
        <w:rPr>
          <w:b/>
          <w:sz w:val="28"/>
          <w:szCs w:val="28"/>
        </w:rPr>
        <w:t xml:space="preserve"> pattern</w:t>
      </w:r>
      <w:r w:rsidR="0035158C" w:rsidRPr="00C00828">
        <w:rPr>
          <w:b/>
          <w:sz w:val="28"/>
          <w:szCs w:val="28"/>
        </w:rPr>
        <w:t>s</w:t>
      </w:r>
    </w:p>
    <w:bookmarkEnd w:id="0"/>
    <w:p w14:paraId="1FA7FB26" w14:textId="10875A87" w:rsidR="000478A4" w:rsidRPr="00647781" w:rsidRDefault="000478A4" w:rsidP="0040478C">
      <w:pPr>
        <w:spacing w:after="200" w:line="276" w:lineRule="auto"/>
        <w:jc w:val="both"/>
      </w:pPr>
      <w:r>
        <w:t>David Healy</w:t>
      </w:r>
      <w:r w:rsidRPr="0096645D">
        <w:rPr>
          <w:vertAlign w:val="superscript"/>
        </w:rPr>
        <w:t>1*</w:t>
      </w:r>
      <w:r>
        <w:t xml:space="preserve"> &amp; Peter Jupp</w:t>
      </w:r>
      <w:r>
        <w:rPr>
          <w:vertAlign w:val="superscript"/>
        </w:rPr>
        <w:t>2</w:t>
      </w:r>
      <w:r>
        <w:t xml:space="preserve"> </w:t>
      </w:r>
    </w:p>
    <w:p w14:paraId="0A5A9F99" w14:textId="3C341CD8" w:rsidR="000478A4" w:rsidRDefault="000478A4" w:rsidP="0040478C">
      <w:pPr>
        <w:spacing w:after="200" w:line="276" w:lineRule="auto"/>
        <w:jc w:val="both"/>
      </w:pPr>
      <w:r w:rsidRPr="0096645D">
        <w:rPr>
          <w:vertAlign w:val="superscript"/>
        </w:rPr>
        <w:t>1</w:t>
      </w:r>
      <w:r>
        <w:t xml:space="preserve">School of Geosciences, King’s College, University of Aberdeen, Aberdeen AB24 3UE </w:t>
      </w:r>
      <w:r w:rsidR="00210CCA">
        <w:t>Scotland</w:t>
      </w:r>
    </w:p>
    <w:p w14:paraId="625C5D84" w14:textId="65D8EB98" w:rsidR="00210CCA" w:rsidRPr="00210CCA" w:rsidRDefault="000478A4" w:rsidP="0040478C">
      <w:pPr>
        <w:spacing w:after="200" w:line="276" w:lineRule="auto"/>
        <w:jc w:val="both"/>
      </w:pPr>
      <w:r w:rsidRPr="0096645D">
        <w:rPr>
          <w:vertAlign w:val="superscript"/>
        </w:rPr>
        <w:t>2</w:t>
      </w:r>
      <w:r w:rsidR="00210CCA" w:rsidRPr="00210CCA">
        <w:t xml:space="preserve">School of Mathematics </w:t>
      </w:r>
      <w:r w:rsidR="00594514">
        <w:t>&amp;</w:t>
      </w:r>
      <w:r w:rsidR="00BB044E">
        <w:t xml:space="preserve"> </w:t>
      </w:r>
      <w:r w:rsidR="00210CCA" w:rsidRPr="00210CCA">
        <w:t>Statistics</w:t>
      </w:r>
      <w:r w:rsidR="00210CCA">
        <w:t xml:space="preserve">, </w:t>
      </w:r>
      <w:r w:rsidR="00210CCA" w:rsidRPr="00210CCA">
        <w:t>University of St Andrews</w:t>
      </w:r>
      <w:r w:rsidR="00210CCA">
        <w:t xml:space="preserve">, </w:t>
      </w:r>
      <w:r w:rsidR="00210CCA" w:rsidRPr="00210CCA">
        <w:t>St Andrews</w:t>
      </w:r>
      <w:r w:rsidR="00210CCA">
        <w:t xml:space="preserve"> </w:t>
      </w:r>
      <w:r w:rsidR="00210CCA" w:rsidRPr="00210CCA">
        <w:t>KY16 9SS</w:t>
      </w:r>
      <w:r w:rsidR="00210CCA">
        <w:t xml:space="preserve"> Scotland </w:t>
      </w:r>
    </w:p>
    <w:p w14:paraId="6BAC96E5" w14:textId="77777777" w:rsidR="000478A4" w:rsidRDefault="000478A4" w:rsidP="0040478C">
      <w:pPr>
        <w:spacing w:after="200" w:line="276" w:lineRule="auto"/>
        <w:jc w:val="both"/>
      </w:pPr>
      <w:r w:rsidRPr="0096645D">
        <w:rPr>
          <w:vertAlign w:val="superscript"/>
        </w:rPr>
        <w:t>*</w:t>
      </w:r>
      <w:r>
        <w:t xml:space="preserve">Corresponding author e-mail: </w:t>
      </w:r>
      <w:hyperlink r:id="rId8" w:history="1">
        <w:r w:rsidRPr="00072C52">
          <w:rPr>
            <w:rStyle w:val="Hyperlink"/>
          </w:rPr>
          <w:t>d.healy@abdn.ac.uk</w:t>
        </w:r>
      </w:hyperlink>
      <w:r>
        <w:t xml:space="preserve"> </w:t>
      </w:r>
    </w:p>
    <w:p w14:paraId="4A5D22EA" w14:textId="77777777" w:rsidR="000E502C" w:rsidRDefault="000E502C" w:rsidP="0040478C">
      <w:pPr>
        <w:spacing w:after="200" w:line="276" w:lineRule="auto"/>
        <w:jc w:val="both"/>
      </w:pPr>
    </w:p>
    <w:p w14:paraId="4F5FAA3F" w14:textId="0D73E3DC" w:rsidR="003161DB" w:rsidRPr="007C23F5" w:rsidRDefault="003161DB" w:rsidP="0040478C">
      <w:pPr>
        <w:spacing w:after="200" w:line="276" w:lineRule="auto"/>
        <w:jc w:val="both"/>
        <w:rPr>
          <w:b/>
        </w:rPr>
      </w:pPr>
      <w:r w:rsidRPr="007C23F5">
        <w:rPr>
          <w:b/>
        </w:rPr>
        <w:t xml:space="preserve">Abstract </w:t>
      </w:r>
    </w:p>
    <w:p w14:paraId="241324B4" w14:textId="43BE1D92" w:rsidR="003161DB" w:rsidRDefault="0084766E" w:rsidP="0040478C">
      <w:pPr>
        <w:spacing w:after="200" w:line="276" w:lineRule="auto"/>
        <w:jc w:val="both"/>
      </w:pPr>
      <w:r>
        <w:t xml:space="preserve">Natural fault patterns, formed in response to a single tectonic event, </w:t>
      </w:r>
      <w:r w:rsidR="006624A4">
        <w:t xml:space="preserve">often </w:t>
      </w:r>
      <w:r>
        <w:t xml:space="preserve">display </w:t>
      </w:r>
      <w:r w:rsidR="006624A4">
        <w:t xml:space="preserve">significant </w:t>
      </w:r>
      <w:r>
        <w:t xml:space="preserve">variation in their orientation distribution. The cause of this variation is the subject of some debate: it could be </w:t>
      </w:r>
      <w:r w:rsidR="0002053E">
        <w:t>‘</w:t>
      </w:r>
      <w:r>
        <w:t>noise</w:t>
      </w:r>
      <w:r w:rsidR="0002053E">
        <w:t>’</w:t>
      </w:r>
      <w:r>
        <w:t xml:space="preserve"> on underlying conjugate</w:t>
      </w:r>
      <w:r w:rsidR="00A0228C">
        <w:t xml:space="preserve"> (or bimodal)</w:t>
      </w:r>
      <w:r>
        <w:t xml:space="preserve"> fault patterns or it could be intrinsic </w:t>
      </w:r>
      <w:r w:rsidR="0002053E">
        <w:t>‘</w:t>
      </w:r>
      <w:r>
        <w:t>signal</w:t>
      </w:r>
      <w:r w:rsidR="0002053E">
        <w:t>’</w:t>
      </w:r>
      <w:r>
        <w:t xml:space="preserve"> </w:t>
      </w:r>
      <w:r w:rsidR="0002053E">
        <w:t>from</w:t>
      </w:r>
      <w:r>
        <w:t xml:space="preserve"> an underlying </w:t>
      </w:r>
      <w:proofErr w:type="spellStart"/>
      <w:r>
        <w:t>polymodal</w:t>
      </w:r>
      <w:proofErr w:type="spellEnd"/>
      <w:r>
        <w:t xml:space="preserve"> (e.g. </w:t>
      </w:r>
      <w:proofErr w:type="spellStart"/>
      <w:r>
        <w:t>quadrimodal</w:t>
      </w:r>
      <w:proofErr w:type="spellEnd"/>
      <w:r>
        <w:t xml:space="preserve">) pattern. </w:t>
      </w:r>
      <w:r w:rsidR="0002053E">
        <w:t xml:space="preserve">In this contribution, we present new statistical tests to assess the probability of a fault pattern having </w:t>
      </w:r>
      <w:r w:rsidR="00176BA4">
        <w:t>two</w:t>
      </w:r>
      <w:r w:rsidR="0002053E">
        <w:t xml:space="preserve"> </w:t>
      </w:r>
      <w:r w:rsidR="00176BA4">
        <w:t>(</w:t>
      </w:r>
      <w:proofErr w:type="gramStart"/>
      <w:r w:rsidR="0002053E">
        <w:t>bimodal</w:t>
      </w:r>
      <w:r w:rsidR="00176BA4">
        <w:t>,</w:t>
      </w:r>
      <w:proofErr w:type="gramEnd"/>
      <w:r w:rsidR="00176BA4">
        <w:t xml:space="preserve"> or </w:t>
      </w:r>
      <w:r w:rsidR="006C03C8">
        <w:t>conjugate</w:t>
      </w:r>
      <w:r w:rsidR="0002053E">
        <w:t xml:space="preserve">) or </w:t>
      </w:r>
      <w:r w:rsidR="00176BA4">
        <w:t>four</w:t>
      </w:r>
      <w:r w:rsidR="0002053E">
        <w:t xml:space="preserve"> </w:t>
      </w:r>
      <w:r w:rsidR="00176BA4">
        <w:t>(</w:t>
      </w:r>
      <w:proofErr w:type="spellStart"/>
      <w:r w:rsidR="006C03C8">
        <w:t>quadrimodal</w:t>
      </w:r>
      <w:proofErr w:type="spellEnd"/>
      <w:r w:rsidR="00176BA4">
        <w:t>)</w:t>
      </w:r>
      <w:r w:rsidR="0002053E">
        <w:t xml:space="preserve"> underlying modes</w:t>
      </w:r>
      <w:r w:rsidR="00E44BFC">
        <w:t xml:space="preserve"> and orthorhombic symmetry</w:t>
      </w:r>
      <w:r w:rsidR="0002053E">
        <w:t xml:space="preserve">. </w:t>
      </w:r>
      <w:r w:rsidR="008A647A">
        <w:t xml:space="preserve">We use the eigenvalues of the </w:t>
      </w:r>
      <w:proofErr w:type="gramStart"/>
      <w:r w:rsidR="00381735">
        <w:t>2</w:t>
      </w:r>
      <w:r w:rsidR="00381735" w:rsidRPr="00E63192">
        <w:rPr>
          <w:vertAlign w:val="superscript"/>
        </w:rPr>
        <w:t>nd</w:t>
      </w:r>
      <w:proofErr w:type="gramEnd"/>
      <w:r w:rsidR="00381735">
        <w:t xml:space="preserve"> and 4</w:t>
      </w:r>
      <w:r w:rsidR="00381735" w:rsidRPr="00E63192">
        <w:rPr>
          <w:vertAlign w:val="superscript"/>
        </w:rPr>
        <w:t>th</w:t>
      </w:r>
      <w:r w:rsidR="00381735">
        <w:t xml:space="preserve"> rank </w:t>
      </w:r>
      <w:r w:rsidR="008A647A">
        <w:t xml:space="preserve">orientation </w:t>
      </w:r>
      <w:r w:rsidR="00381735">
        <w:t>tensors</w:t>
      </w:r>
      <w:r w:rsidR="008A647A">
        <w:t xml:space="preserve">, derived from the direction cosines of the poles to the fault planes, as the basis for our tests. Using a combination of the existing fabric eigenvalue (or modified </w:t>
      </w:r>
      <w:proofErr w:type="spellStart"/>
      <w:r w:rsidR="008A647A">
        <w:t>Flinn</w:t>
      </w:r>
      <w:proofErr w:type="spellEnd"/>
      <w:r w:rsidR="008A647A">
        <w:t xml:space="preserve">) plot and our new tests, we can discriminate </w:t>
      </w:r>
      <w:r w:rsidR="00381735">
        <w:t xml:space="preserve">reliably </w:t>
      </w:r>
      <w:r w:rsidR="008A647A">
        <w:t xml:space="preserve">between </w:t>
      </w:r>
      <w:r w:rsidR="00A0228C">
        <w:t>bimodal (</w:t>
      </w:r>
      <w:r w:rsidR="008A647A">
        <w:t xml:space="preserve">conjugate) and </w:t>
      </w:r>
      <w:proofErr w:type="spellStart"/>
      <w:r w:rsidR="008A647A">
        <w:t>quadrimodal</w:t>
      </w:r>
      <w:proofErr w:type="spellEnd"/>
      <w:r w:rsidR="008A647A">
        <w:t xml:space="preserve"> fault patterns. We validate our tests using synthetic fault orientation </w:t>
      </w:r>
      <w:r w:rsidR="00B86935">
        <w:t>datasets</w:t>
      </w:r>
      <w:r w:rsidR="008A647A">
        <w:t xml:space="preserve"> constructed from multimodal Watson distributions, and then assess six natural fault datasets from outcrops and earthquake focal plane solutions. </w:t>
      </w:r>
      <w:r w:rsidR="00A0228C">
        <w:t>We show that f</w:t>
      </w:r>
      <w:r w:rsidR="008A647A">
        <w:t xml:space="preserve">ive out of six of these natural datasets are probably </w:t>
      </w:r>
      <w:proofErr w:type="spellStart"/>
      <w:r w:rsidR="008A647A">
        <w:t>quadrimodal</w:t>
      </w:r>
      <w:proofErr w:type="spellEnd"/>
      <w:r w:rsidR="00E44BFC">
        <w:t xml:space="preserve"> and orthorhombic</w:t>
      </w:r>
      <w:r w:rsidR="008A647A">
        <w:t xml:space="preserve">. </w:t>
      </w:r>
      <w:r w:rsidR="0002053E">
        <w:t xml:space="preserve">The tests </w:t>
      </w:r>
      <w:proofErr w:type="gramStart"/>
      <w:r w:rsidR="0002053E">
        <w:t xml:space="preserve">have been </w:t>
      </w:r>
      <w:r w:rsidR="00381735">
        <w:t>implemented</w:t>
      </w:r>
      <w:proofErr w:type="gramEnd"/>
      <w:r w:rsidR="00381735">
        <w:t xml:space="preserve"> </w:t>
      </w:r>
      <w:r w:rsidR="0002053E">
        <w:t xml:space="preserve">in the R language and </w:t>
      </w:r>
      <w:r w:rsidR="00381735">
        <w:t>a link is given to the</w:t>
      </w:r>
      <w:r w:rsidR="0002053E">
        <w:t xml:space="preserve"> authors</w:t>
      </w:r>
      <w:r w:rsidR="00381735">
        <w:t>’ source code</w:t>
      </w:r>
      <w:r w:rsidR="0002053E">
        <w:t xml:space="preserve">.  </w:t>
      </w:r>
    </w:p>
    <w:p w14:paraId="75D03408" w14:textId="77777777" w:rsidR="000B7417" w:rsidRDefault="000B7417" w:rsidP="0040478C">
      <w:pPr>
        <w:spacing w:after="200" w:line="276" w:lineRule="auto"/>
        <w:jc w:val="both"/>
      </w:pPr>
    </w:p>
    <w:p w14:paraId="3C4F9434" w14:textId="49A7A168" w:rsidR="00447618" w:rsidRPr="007C23F5" w:rsidRDefault="00350784" w:rsidP="0040478C">
      <w:pPr>
        <w:spacing w:after="200" w:line="276" w:lineRule="auto"/>
        <w:jc w:val="both"/>
        <w:rPr>
          <w:b/>
        </w:rPr>
      </w:pPr>
      <w:r w:rsidRPr="007C23F5">
        <w:rPr>
          <w:b/>
        </w:rPr>
        <w:t xml:space="preserve">1. </w:t>
      </w:r>
      <w:r w:rsidR="00447618" w:rsidRPr="007C23F5">
        <w:rPr>
          <w:b/>
        </w:rPr>
        <w:t xml:space="preserve">Introduction </w:t>
      </w:r>
    </w:p>
    <w:p w14:paraId="34A16D7C" w14:textId="5E8C0F4A" w:rsidR="003D3B40" w:rsidRPr="003D3B40" w:rsidRDefault="003D3B40" w:rsidP="0040478C">
      <w:pPr>
        <w:spacing w:after="200" w:line="276" w:lineRule="auto"/>
        <w:jc w:val="both"/>
        <w:rPr>
          <w:i/>
          <w:color w:val="FF0000"/>
        </w:rPr>
      </w:pPr>
      <w:r w:rsidRPr="003D3B40">
        <w:rPr>
          <w:i/>
        </w:rPr>
        <w:t xml:space="preserve">1.1 Background </w:t>
      </w:r>
    </w:p>
    <w:p w14:paraId="7ED32042" w14:textId="0E4093F5" w:rsidR="006B286C" w:rsidRDefault="00522340" w:rsidP="0040478C">
      <w:pPr>
        <w:spacing w:after="200" w:line="276" w:lineRule="auto"/>
        <w:jc w:val="both"/>
      </w:pPr>
      <w:r>
        <w:t>Faults are common structures in the Earth’s crust, and t</w:t>
      </w:r>
      <w:r w:rsidR="00EF0D8D">
        <w:t xml:space="preserve">hey rarely occur in isolation. </w:t>
      </w:r>
      <w:r>
        <w:t>Patterns of faults, and other fractures such as joints and veins, control the bulk transport and mechanical properties of the crust.</w:t>
      </w:r>
      <w:r w:rsidR="00EF0D8D">
        <w:t xml:space="preserve"> </w:t>
      </w:r>
      <w:r w:rsidR="00531563">
        <w:t xml:space="preserve">For example, arrays of low permeability (or ‘sealing’) faults in a rock </w:t>
      </w:r>
      <w:proofErr w:type="gramStart"/>
      <w:r w:rsidR="00531563">
        <w:t>matrix</w:t>
      </w:r>
      <w:proofErr w:type="gramEnd"/>
      <w:r w:rsidR="00531563">
        <w:t xml:space="preserve"> of higher permeability can produce anisotropy of permeability and prefe</w:t>
      </w:r>
      <w:r w:rsidR="00EF0D8D">
        <w:t xml:space="preserve">rred directions of fluid flow. </w:t>
      </w:r>
      <w:r w:rsidR="00531563">
        <w:t xml:space="preserve">Arrays of weak faults can similarly produce anisotropy </w:t>
      </w:r>
      <w:r w:rsidR="001C7F92">
        <w:t xml:space="preserve">– i.e. directional variations – </w:t>
      </w:r>
      <w:r w:rsidR="00EF0D8D">
        <w:t xml:space="preserve">of bulk strength. </w:t>
      </w:r>
      <w:r w:rsidR="00D12B6B">
        <w:t xml:space="preserve">It is important to understand fault patterns, and quantifying the </w:t>
      </w:r>
      <w:r w:rsidR="0040478C">
        <w:t xml:space="preserve">geometrical </w:t>
      </w:r>
      <w:r w:rsidR="00D12B6B">
        <w:t xml:space="preserve">attributes of </w:t>
      </w:r>
      <w:r w:rsidR="000F0706">
        <w:t>any</w:t>
      </w:r>
      <w:r w:rsidR="00D12B6B">
        <w:t xml:space="preserve"> pattern is an important first </w:t>
      </w:r>
      <w:r w:rsidR="00EF0D8D">
        <w:t xml:space="preserve">step. </w:t>
      </w:r>
      <w:r w:rsidR="007B3083">
        <w:t xml:space="preserve">Faults, taken as a class of brittle shear fractures, </w:t>
      </w:r>
      <w:proofErr w:type="gramStart"/>
      <w:r w:rsidR="007B3083">
        <w:t>are often assumed</w:t>
      </w:r>
      <w:proofErr w:type="gramEnd"/>
      <w:r w:rsidR="007B3083">
        <w:t xml:space="preserve"> to form in conjugate arrays, with fault planes more or less evenly distributed about the largest principal compressive stress, </w:t>
      </w:r>
      <w:r w:rsidR="007B3083" w:rsidRPr="00732770">
        <w:rPr>
          <w:rFonts w:ascii="Symbol" w:hAnsi="Symbol"/>
        </w:rPr>
        <w:t></w:t>
      </w:r>
      <w:r w:rsidR="007B3083" w:rsidRPr="00732770">
        <w:rPr>
          <w:vertAlign w:val="subscript"/>
        </w:rPr>
        <w:t>1</w:t>
      </w:r>
      <w:r w:rsidR="007B3083">
        <w:t xml:space="preserve">, and </w:t>
      </w:r>
      <w:r w:rsidR="00EF0D8D">
        <w:t xml:space="preserve">making an acute angle with it. </w:t>
      </w:r>
      <w:r w:rsidR="00E54781">
        <w:t xml:space="preserve">This model, an amalgam of theory and empirical observation, predicts that conjugate fault planes intersect along the line of </w:t>
      </w:r>
      <w:r w:rsidR="00E54781" w:rsidRPr="00732770">
        <w:rPr>
          <w:rFonts w:ascii="Symbol" w:hAnsi="Symbol"/>
        </w:rPr>
        <w:t></w:t>
      </w:r>
      <w:r w:rsidR="00E54781" w:rsidRPr="00732770">
        <w:rPr>
          <w:vertAlign w:val="subscript"/>
        </w:rPr>
        <w:t>2</w:t>
      </w:r>
      <w:r w:rsidR="00E54781">
        <w:t xml:space="preserve"> (the intermediate principal stress) and the fault pattern overall </w:t>
      </w:r>
      <w:r w:rsidR="000624AD">
        <w:t>displays</w:t>
      </w:r>
      <w:r w:rsidR="00E54781">
        <w:t xml:space="preserve"> bimodal symmetry (Figure 1</w:t>
      </w:r>
      <w:r w:rsidR="00002953">
        <w:t>a</w:t>
      </w:r>
      <w:r w:rsidR="00E54781">
        <w:t xml:space="preserve">). </w:t>
      </w:r>
      <w:r w:rsidR="00B356AE">
        <w:t>A fundamental limitation of this model is that these fault patterns can only ever produce a plane strain (</w:t>
      </w:r>
      <w:r w:rsidR="005173A7">
        <w:t xml:space="preserve">intermediate principal strain </w:t>
      </w:r>
      <w:r w:rsidR="00B356AE" w:rsidRPr="00FD7758">
        <w:rPr>
          <w:rFonts w:ascii="Symbol" w:hAnsi="Symbol"/>
        </w:rPr>
        <w:t></w:t>
      </w:r>
      <w:r w:rsidR="00B356AE" w:rsidRPr="00FD7758">
        <w:rPr>
          <w:vertAlign w:val="subscript"/>
        </w:rPr>
        <w:t>2</w:t>
      </w:r>
      <w:r w:rsidR="00B356AE">
        <w:t xml:space="preserve"> = 0), </w:t>
      </w:r>
      <w:r w:rsidR="00B356AE">
        <w:lastRenderedPageBreak/>
        <w:t>with no extension o</w:t>
      </w:r>
      <w:r w:rsidR="00703712">
        <w:t>r</w:t>
      </w:r>
      <w:r w:rsidR="00B356AE">
        <w:t xml:space="preserve"> shortening in the direction of </w:t>
      </w:r>
      <w:r w:rsidR="00B356AE" w:rsidRPr="004A538D">
        <w:rPr>
          <w:rFonts w:ascii="Symbol" w:hAnsi="Symbol"/>
        </w:rPr>
        <w:t></w:t>
      </w:r>
      <w:r w:rsidR="00B356AE" w:rsidRPr="004A538D">
        <w:rPr>
          <w:vertAlign w:val="subscript"/>
        </w:rPr>
        <w:t>2</w:t>
      </w:r>
      <w:r w:rsidR="00EF0D8D">
        <w:t xml:space="preserve">. </w:t>
      </w:r>
      <w:r w:rsidR="00B356AE">
        <w:t xml:space="preserve">This </w:t>
      </w:r>
      <w:r w:rsidR="001F3843">
        <w:t xml:space="preserve">kinematic limitation </w:t>
      </w:r>
      <w:r w:rsidR="00B356AE">
        <w:t xml:space="preserve">is inconsistent with field and laboratory observations that document the existence of </w:t>
      </w:r>
      <w:proofErr w:type="spellStart"/>
      <w:r w:rsidR="00B356AE">
        <w:t>polymodal</w:t>
      </w:r>
      <w:proofErr w:type="spellEnd"/>
      <w:r w:rsidR="00B356AE">
        <w:t xml:space="preserve"> </w:t>
      </w:r>
      <w:r w:rsidR="006021F3">
        <w:t xml:space="preserve">or </w:t>
      </w:r>
      <w:proofErr w:type="spellStart"/>
      <w:r w:rsidR="006021F3">
        <w:t>quadrimodal</w:t>
      </w:r>
      <w:proofErr w:type="spellEnd"/>
      <w:r w:rsidR="006021F3">
        <w:t xml:space="preserve"> </w:t>
      </w:r>
      <w:r w:rsidR="00B356AE">
        <w:t xml:space="preserve">fault patterns, </w:t>
      </w:r>
      <w:r w:rsidR="00EE7672">
        <w:t xml:space="preserve">and </w:t>
      </w:r>
      <w:r w:rsidR="00B356AE">
        <w:t xml:space="preserve">which produce </w:t>
      </w:r>
      <w:proofErr w:type="spellStart"/>
      <w:r w:rsidR="00B356AE">
        <w:t>triaxial</w:t>
      </w:r>
      <w:proofErr w:type="spellEnd"/>
      <w:r w:rsidR="00B356AE">
        <w:t xml:space="preserve"> strains in response to </w:t>
      </w:r>
      <w:proofErr w:type="spellStart"/>
      <w:r w:rsidR="00B356AE">
        <w:t>triaxial</w:t>
      </w:r>
      <w:proofErr w:type="spellEnd"/>
      <w:r w:rsidR="00B356AE">
        <w:t xml:space="preserve"> stresses</w:t>
      </w:r>
      <w:r w:rsidR="005173A7">
        <w:t xml:space="preserve"> (</w:t>
      </w:r>
      <w:r w:rsidR="00B015E5">
        <w:t xml:space="preserve">e.g. </w:t>
      </w:r>
      <w:r w:rsidR="005173A7">
        <w:t xml:space="preserve">Aydin &amp; </w:t>
      </w:r>
      <w:proofErr w:type="spellStart"/>
      <w:r w:rsidR="005173A7">
        <w:t>Reches</w:t>
      </w:r>
      <w:proofErr w:type="spellEnd"/>
      <w:r w:rsidR="005173A7">
        <w:t xml:space="preserve">, 1982; </w:t>
      </w:r>
      <w:proofErr w:type="spellStart"/>
      <w:r w:rsidR="005173A7">
        <w:t>Reches</w:t>
      </w:r>
      <w:proofErr w:type="spellEnd"/>
      <w:r w:rsidR="005173A7">
        <w:t>, 1978; Blenkinsop, 2008; Healy et al., 2015</w:t>
      </w:r>
      <w:r w:rsidR="00497BA1">
        <w:t>; McCormack &amp; McClay, 2018</w:t>
      </w:r>
      <w:r w:rsidR="005173A7">
        <w:t>)</w:t>
      </w:r>
      <w:r w:rsidR="00636646">
        <w:t xml:space="preserve">. </w:t>
      </w:r>
      <w:proofErr w:type="spellStart"/>
      <w:r w:rsidR="00E24760">
        <w:t>Polymodal</w:t>
      </w:r>
      <w:proofErr w:type="spellEnd"/>
      <w:r w:rsidR="00E24760">
        <w:t xml:space="preserve"> and </w:t>
      </w:r>
      <w:proofErr w:type="spellStart"/>
      <w:r w:rsidR="00E24760">
        <w:t>quadrimodal</w:t>
      </w:r>
      <w:proofErr w:type="spellEnd"/>
      <w:r w:rsidR="00E24760">
        <w:t xml:space="preserve"> fault patterns possess orthorhombic symmetry</w:t>
      </w:r>
      <w:r w:rsidR="00002953">
        <w:t xml:space="preserve"> (Figure 1b</w:t>
      </w:r>
      <w:r w:rsidR="00F22C49">
        <w:t xml:space="preserve"> &amp; 1c</w:t>
      </w:r>
      <w:r w:rsidR="00002953">
        <w:t>)</w:t>
      </w:r>
      <w:r w:rsidR="00E24760">
        <w:t xml:space="preserve">.   </w:t>
      </w:r>
    </w:p>
    <w:p w14:paraId="47108E02" w14:textId="77777777" w:rsidR="002E59B5" w:rsidRDefault="002E59B5" w:rsidP="002E59B5">
      <w:pPr>
        <w:spacing w:after="200" w:line="276" w:lineRule="auto"/>
        <w:jc w:val="both"/>
      </w:pPr>
      <w:r w:rsidRPr="005E5AE9">
        <w:rPr>
          <w:b/>
        </w:rPr>
        <w:t>Figure 1.</w:t>
      </w:r>
      <w:r>
        <w:t xml:space="preserve"> Schematic diagrams to compare conjugate fault patterns displaying bimodal symmetry with </w:t>
      </w:r>
      <w:proofErr w:type="spellStart"/>
      <w:r>
        <w:t>quadrimodal</w:t>
      </w:r>
      <w:proofErr w:type="spellEnd"/>
      <w:r>
        <w:t xml:space="preserve"> and </w:t>
      </w:r>
      <w:proofErr w:type="spellStart"/>
      <w:r>
        <w:t>polymodal</w:t>
      </w:r>
      <w:proofErr w:type="spellEnd"/>
      <w:r>
        <w:t xml:space="preserve"> fault patterns displaying orthorhombic symmetry.  </w:t>
      </w:r>
      <w:proofErr w:type="gramStart"/>
      <w:r w:rsidRPr="00743948">
        <w:rPr>
          <w:b/>
        </w:rPr>
        <w:t>a-c</w:t>
      </w:r>
      <w:r>
        <w:t>)</w:t>
      </w:r>
      <w:proofErr w:type="gramEnd"/>
      <w:r>
        <w:t xml:space="preserve"> Block diagrams showing patterns of normal faults and their relationship to the principal stresses.  </w:t>
      </w:r>
      <w:proofErr w:type="gramStart"/>
      <w:r w:rsidRPr="00743948">
        <w:rPr>
          <w:b/>
        </w:rPr>
        <w:t>d-</w:t>
      </w:r>
      <w:proofErr w:type="gramEnd"/>
      <w:r w:rsidRPr="00743948">
        <w:rPr>
          <w:b/>
        </w:rPr>
        <w:t>f</w:t>
      </w:r>
      <w:r>
        <w:t xml:space="preserve">) Stereographic projections (equal area, lower hemisphere) showing poles to fault planes for the models shown in a-c. Natural examples of all three patterns </w:t>
      </w:r>
      <w:proofErr w:type="gramStart"/>
      <w:r>
        <w:t>have been found</w:t>
      </w:r>
      <w:proofErr w:type="gramEnd"/>
      <w:r>
        <w:t xml:space="preserve"> in naturally deformed rocks.  </w:t>
      </w:r>
    </w:p>
    <w:p w14:paraId="1DFA602C" w14:textId="48BAF21E" w:rsidR="007178A1" w:rsidRDefault="007A585A" w:rsidP="0040478C">
      <w:pPr>
        <w:spacing w:after="200" w:line="276" w:lineRule="auto"/>
        <w:jc w:val="both"/>
      </w:pPr>
      <w:r>
        <w:t xml:space="preserve">Fault patterns are most often visualised through maps of their traces and </w:t>
      </w:r>
      <w:r w:rsidR="00D86A57">
        <w:t xml:space="preserve">equal-angle </w:t>
      </w:r>
      <w:r>
        <w:t>(</w:t>
      </w:r>
      <w:r w:rsidR="00D86A57">
        <w:t>stereographic</w:t>
      </w:r>
      <w:r>
        <w:t>) or equal-area</w:t>
      </w:r>
      <w:r w:rsidR="005B7320">
        <w:t xml:space="preserve"> projections of </w:t>
      </w:r>
      <w:r>
        <w:t>poles</w:t>
      </w:r>
      <w:r w:rsidR="005B7320">
        <w:t xml:space="preserve"> to fault planes</w:t>
      </w:r>
      <w:r w:rsidR="00AC2B55">
        <w:t xml:space="preserve"> </w:t>
      </w:r>
      <w:r>
        <w:t xml:space="preserve">or </w:t>
      </w:r>
      <w:r w:rsidR="00423220">
        <w:t>g</w:t>
      </w:r>
      <w:r w:rsidR="00AC2B55">
        <w:t>reat circles</w:t>
      </w:r>
      <w:r w:rsidR="00423220">
        <w:t>.  A</w:t>
      </w:r>
      <w:r w:rsidR="005B7320">
        <w:t>zimuthal projection methods (</w:t>
      </w:r>
      <w:r w:rsidR="000E2962">
        <w:t xml:space="preserve">hereafter </w:t>
      </w:r>
      <w:r w:rsidR="005B7320">
        <w:t xml:space="preserve">‘stereograms’) provide a measure of the orientation distribution, including the attitude and the shape of the </w:t>
      </w:r>
      <w:r w:rsidR="00377601">
        <w:t xml:space="preserve">overall </w:t>
      </w:r>
      <w:r w:rsidR="005B7320">
        <w:t>pattern.</w:t>
      </w:r>
      <w:r w:rsidR="00AE0E08">
        <w:t xml:space="preserve"> However, these plots can be uns</w:t>
      </w:r>
      <w:r w:rsidR="005A5831">
        <w:t xml:space="preserve">atisfactory when they contain </w:t>
      </w:r>
      <w:r w:rsidR="00206109">
        <w:t>many</w:t>
      </w:r>
      <w:r w:rsidR="00AE0E08">
        <w:t xml:space="preserve"> data points</w:t>
      </w:r>
      <w:r w:rsidR="008E1AC1">
        <w:t>,</w:t>
      </w:r>
      <w:r w:rsidR="00AE0E08">
        <w:t xml:space="preserve"> or the data are quite widely dispersed</w:t>
      </w:r>
      <w:r w:rsidR="00EF0D8D">
        <w:t xml:space="preserve">. </w:t>
      </w:r>
      <w:r w:rsidR="00E74700">
        <w:t xml:space="preserve">Woodcock </w:t>
      </w:r>
      <w:r w:rsidR="00390D19">
        <w:t xml:space="preserve">(1977) </w:t>
      </w:r>
      <w:r w:rsidR="00074FD4">
        <w:t>developed the idea of the fabric shape, based on the fabric or orientation tensor</w:t>
      </w:r>
      <w:r w:rsidR="004B1148">
        <w:t xml:space="preserve"> of </w:t>
      </w:r>
      <w:proofErr w:type="spellStart"/>
      <w:r w:rsidR="004B1148">
        <w:t>Scheidegger</w:t>
      </w:r>
      <w:proofErr w:type="spellEnd"/>
      <w:r w:rsidR="004B1148">
        <w:t xml:space="preserve"> (1965</w:t>
      </w:r>
      <w:r w:rsidR="00074FD4">
        <w:t>).</w:t>
      </w:r>
      <w:r w:rsidR="00B846A1">
        <w:t xml:space="preserve"> The eigenvalues of this </w:t>
      </w:r>
      <w:proofErr w:type="gramStart"/>
      <w:r w:rsidR="00B846A1">
        <w:t>2</w:t>
      </w:r>
      <w:r w:rsidR="00B846A1" w:rsidRPr="00377C11">
        <w:rPr>
          <w:vertAlign w:val="superscript"/>
        </w:rPr>
        <w:t>nd</w:t>
      </w:r>
      <w:proofErr w:type="gramEnd"/>
      <w:r w:rsidR="00B846A1">
        <w:t xml:space="preserve"> rank tensor can be used in a modified </w:t>
      </w:r>
      <w:proofErr w:type="spellStart"/>
      <w:r w:rsidR="00B846A1">
        <w:t>Flinn</w:t>
      </w:r>
      <w:proofErr w:type="spellEnd"/>
      <w:r w:rsidR="00B846A1">
        <w:t xml:space="preserve"> plot </w:t>
      </w:r>
      <w:r w:rsidR="00A22427">
        <w:t>(</w:t>
      </w:r>
      <w:proofErr w:type="spellStart"/>
      <w:r w:rsidR="00A22427">
        <w:t>Flinn</w:t>
      </w:r>
      <w:proofErr w:type="spellEnd"/>
      <w:r w:rsidR="00A22427">
        <w:t xml:space="preserve">, 1962; Ramsay, 1967) </w:t>
      </w:r>
      <w:r w:rsidR="00B846A1">
        <w:t>to discriminate betwee</w:t>
      </w:r>
      <w:r w:rsidR="00840F90">
        <w:t xml:space="preserve">n clusters and girdles of poles. </w:t>
      </w:r>
      <w:r w:rsidR="000C0433">
        <w:t xml:space="preserve">These plots can be useful for </w:t>
      </w:r>
      <w:r w:rsidR="005A4AEF">
        <w:t>three of the five pos</w:t>
      </w:r>
      <w:r w:rsidR="008E1AC1">
        <w:t xml:space="preserve">sible fabric symmetry classes – </w:t>
      </w:r>
      <w:r w:rsidR="005A4AEF">
        <w:t xml:space="preserve">spherical, axial and orthorhombic </w:t>
      </w:r>
      <w:r w:rsidR="008E1AC1">
        <w:t>–</w:t>
      </w:r>
      <w:r w:rsidR="005A4AEF">
        <w:t xml:space="preserve"> because</w:t>
      </w:r>
      <w:r w:rsidR="008E1AC1">
        <w:t xml:space="preserve"> </w:t>
      </w:r>
      <w:r w:rsidR="005A4AEF">
        <w:t xml:space="preserve">the three </w:t>
      </w:r>
      <w:r w:rsidR="00B3251D">
        <w:t xml:space="preserve">fabric </w:t>
      </w:r>
      <w:r w:rsidR="005A4AEF">
        <w:t xml:space="preserve">eigenvectors coincide with the three symmetry axes. </w:t>
      </w:r>
      <w:r w:rsidR="00D81D5A">
        <w:t xml:space="preserve">However, there are issues with </w:t>
      </w:r>
      <w:r w:rsidR="0084457B">
        <w:t xml:space="preserve">the </w:t>
      </w:r>
      <w:r w:rsidR="00D81D5A">
        <w:t xml:space="preserve">interpretation of distributions that are not uniaxial (Woodcock, 1977). </w:t>
      </w:r>
      <w:r w:rsidR="00A80169">
        <w:t xml:space="preserve">We address these issues in this paper. </w:t>
      </w:r>
      <w:proofErr w:type="spellStart"/>
      <w:r w:rsidR="005F074A">
        <w:t>Reches</w:t>
      </w:r>
      <w:proofErr w:type="spellEnd"/>
      <w:r w:rsidR="005F074A">
        <w:t xml:space="preserve"> (</w:t>
      </w:r>
      <w:proofErr w:type="spellStart"/>
      <w:r w:rsidR="002F0DB7">
        <w:t>Reches</w:t>
      </w:r>
      <w:proofErr w:type="spellEnd"/>
      <w:r w:rsidR="002F0DB7">
        <w:t xml:space="preserve">, 1978; </w:t>
      </w:r>
      <w:r w:rsidR="005F074A">
        <w:t xml:space="preserve">Aydin &amp; </w:t>
      </w:r>
      <w:proofErr w:type="spellStart"/>
      <w:r w:rsidR="005F074A">
        <w:t>Reches</w:t>
      </w:r>
      <w:proofErr w:type="spellEnd"/>
      <w:r w:rsidR="005F074A">
        <w:t xml:space="preserve">, 1982; </w:t>
      </w:r>
      <w:proofErr w:type="spellStart"/>
      <w:r w:rsidR="005F074A">
        <w:t>Reches</w:t>
      </w:r>
      <w:proofErr w:type="spellEnd"/>
      <w:r w:rsidR="005F074A">
        <w:t xml:space="preserve">, 1983; </w:t>
      </w:r>
      <w:proofErr w:type="spellStart"/>
      <w:r w:rsidR="005F074A">
        <w:t>Reches</w:t>
      </w:r>
      <w:proofErr w:type="spellEnd"/>
      <w:r w:rsidR="005F074A">
        <w:t xml:space="preserve"> &amp; </w:t>
      </w:r>
      <w:proofErr w:type="spellStart"/>
      <w:r w:rsidR="005F074A">
        <w:t>Dieterich</w:t>
      </w:r>
      <w:proofErr w:type="spellEnd"/>
      <w:r w:rsidR="005F074A">
        <w:t>,</w:t>
      </w:r>
      <w:r w:rsidR="002F0DB7">
        <w:t xml:space="preserve"> </w:t>
      </w:r>
      <w:r w:rsidR="005F074A">
        <w:t xml:space="preserve">1983) has exploited the orthorhombic symmetry of measured </w:t>
      </w:r>
      <w:proofErr w:type="spellStart"/>
      <w:r w:rsidR="009D2CDA">
        <w:t>quadri</w:t>
      </w:r>
      <w:r w:rsidR="005F074A">
        <w:t>modal</w:t>
      </w:r>
      <w:proofErr w:type="spellEnd"/>
      <w:r w:rsidR="005F074A">
        <w:t xml:space="preserve"> fault patterns to </w:t>
      </w:r>
      <w:r w:rsidR="00FA1A49">
        <w:t>explore the relationship between their geometric</w:t>
      </w:r>
      <w:r w:rsidR="00381735">
        <w:t>/</w:t>
      </w:r>
      <w:r w:rsidR="00FA1A49">
        <w:t xml:space="preserve"> kinematic attributes </w:t>
      </w:r>
      <w:r w:rsidR="00381735">
        <w:t xml:space="preserve">and </w:t>
      </w:r>
      <w:r w:rsidR="00C02680">
        <w:t xml:space="preserve">tectonic </w:t>
      </w:r>
      <w:r w:rsidR="00FA1A49">
        <w:t xml:space="preserve">stress. </w:t>
      </w:r>
      <w:r w:rsidR="0067315E">
        <w:t xml:space="preserve">More recently, Yielding (2016) measured the branch lines of intersecting normal faults from seismic reflection data and found they aligned with the </w:t>
      </w:r>
      <w:r w:rsidR="00B71F62">
        <w:t xml:space="preserve">bulk </w:t>
      </w:r>
      <w:r w:rsidR="0067315E">
        <w:t xml:space="preserve">extension direction </w:t>
      </w:r>
      <w:r w:rsidR="00C04FE9">
        <w:t>–</w:t>
      </w:r>
      <w:r w:rsidR="0067315E">
        <w:t xml:space="preserve"> a</w:t>
      </w:r>
      <w:r w:rsidR="00C04FE9">
        <w:t xml:space="preserve"> </w:t>
      </w:r>
      <w:r w:rsidR="0067315E">
        <w:t xml:space="preserve">feature consistent with their formation as </w:t>
      </w:r>
      <w:proofErr w:type="spellStart"/>
      <w:r w:rsidR="0067315E">
        <w:t>polymodal</w:t>
      </w:r>
      <w:proofErr w:type="spellEnd"/>
      <w:r w:rsidR="0067315E">
        <w:t xml:space="preserve"> patterns. </w:t>
      </w:r>
      <w:r w:rsidR="00384B93">
        <w:t>Bimodal (</w:t>
      </w:r>
      <w:r w:rsidR="007B1EB5">
        <w:t xml:space="preserve">i.e. </w:t>
      </w:r>
      <w:r w:rsidR="00384B93">
        <w:t xml:space="preserve">conjugate) fault arrays have branch lines </w:t>
      </w:r>
      <w:r w:rsidR="005256EF">
        <w:t xml:space="preserve">aligned perpendicular to the bulk extension direction. </w:t>
      </w:r>
      <w:r w:rsidR="0067315E">
        <w:t xml:space="preserve"> </w:t>
      </w:r>
    </w:p>
    <w:p w14:paraId="6F2134EE" w14:textId="67F89122" w:rsidR="00CA6379" w:rsidRPr="00CA6379" w:rsidRDefault="00CA6379" w:rsidP="0040478C">
      <w:pPr>
        <w:spacing w:after="200" w:line="276" w:lineRule="auto"/>
        <w:jc w:val="both"/>
        <w:rPr>
          <w:i/>
        </w:rPr>
      </w:pPr>
      <w:r w:rsidRPr="00CA6379">
        <w:rPr>
          <w:i/>
        </w:rPr>
        <w:t xml:space="preserve">1.2 Rationale </w:t>
      </w:r>
    </w:p>
    <w:p w14:paraId="6B068A4D" w14:textId="344C84E6" w:rsidR="00617659" w:rsidRDefault="00E24760" w:rsidP="0040478C">
      <w:pPr>
        <w:spacing w:after="200" w:line="276" w:lineRule="auto"/>
        <w:jc w:val="both"/>
      </w:pPr>
      <w:r>
        <w:t xml:space="preserve">The fundamental underlying differences in the symmetries of the two kinds of fault pattern </w:t>
      </w:r>
      <w:proofErr w:type="gramStart"/>
      <w:r>
        <w:t>–</w:t>
      </w:r>
      <w:r w:rsidR="00E44BFC">
        <w:t>(</w:t>
      </w:r>
      <w:proofErr w:type="spellStart"/>
      <w:proofErr w:type="gramEnd"/>
      <w:r w:rsidR="00E44BFC">
        <w:t>i</w:t>
      </w:r>
      <w:proofErr w:type="spellEnd"/>
      <w:r w:rsidR="00E44BFC">
        <w:t xml:space="preserve">) </w:t>
      </w:r>
      <w:r>
        <w:t>bimodal</w:t>
      </w:r>
      <w:r w:rsidR="00E44BFC">
        <w:t xml:space="preserve"> and </w:t>
      </w:r>
      <w:r w:rsidR="00B015E5">
        <w:t>bilateral</w:t>
      </w:r>
      <w:r>
        <w:t xml:space="preserve"> </w:t>
      </w:r>
      <w:r w:rsidR="00E44BFC">
        <w:t xml:space="preserve">or (ii) </w:t>
      </w:r>
      <w:r>
        <w:t xml:space="preserve">and </w:t>
      </w:r>
      <w:proofErr w:type="spellStart"/>
      <w:r>
        <w:t>polymodal</w:t>
      </w:r>
      <w:proofErr w:type="spellEnd"/>
      <w:r w:rsidR="00E44BFC">
        <w:t xml:space="preserve"> and </w:t>
      </w:r>
      <w:r w:rsidR="001B3FB1">
        <w:t>orthorhombic</w:t>
      </w:r>
      <w:r>
        <w:t xml:space="preserve"> – suggest that we should test for this symmetry using the orientation</w:t>
      </w:r>
      <w:r w:rsidR="001B3FB1">
        <w:t xml:space="preserve"> distributions of </w:t>
      </w:r>
      <w:r>
        <w:t>measured fault</w:t>
      </w:r>
      <w:r w:rsidR="00FF7EC5">
        <w:t xml:space="preserve"> plane</w:t>
      </w:r>
      <w:r w:rsidR="00BB606C">
        <w:t>s</w:t>
      </w:r>
      <w:r>
        <w:t>.</w:t>
      </w:r>
      <w:r w:rsidR="001E5C3D">
        <w:t xml:space="preserve"> </w:t>
      </w:r>
      <w:r w:rsidR="00BB606C">
        <w:t>The results of such tests may provide further insight into the kinematics and/or dynamics</w:t>
      </w:r>
      <w:r w:rsidR="001E5C3D">
        <w:t xml:space="preserve"> of the fault-forming process. </w:t>
      </w:r>
      <w:r w:rsidR="00F00783">
        <w:t xml:space="preserve">This paper describes new tests for </w:t>
      </w:r>
      <w:proofErr w:type="gramStart"/>
      <w:r w:rsidR="00F00783">
        <w:t>fault pattern</w:t>
      </w:r>
      <w:r w:rsidR="00B015E5">
        <w:t xml:space="preserve"> orientation data</w:t>
      </w:r>
      <w:proofErr w:type="gramEnd"/>
      <w:r w:rsidR="00F00783">
        <w:t>, and includes the program code for each test written in the R language</w:t>
      </w:r>
      <w:r w:rsidR="00720444">
        <w:t xml:space="preserve"> (R Core Team, 2017)</w:t>
      </w:r>
      <w:r w:rsidR="00F00783">
        <w:t>.</w:t>
      </w:r>
      <w:r w:rsidR="006C2EF3">
        <w:t xml:space="preserve"> </w:t>
      </w:r>
      <w:r w:rsidR="00C161AD">
        <w:t xml:space="preserve">The paper is organised as follows: the next section (2) reviews the kinematic and mechanical issues raised by conjugate and </w:t>
      </w:r>
      <w:proofErr w:type="spellStart"/>
      <w:r w:rsidR="00C161AD">
        <w:t>polymodal</w:t>
      </w:r>
      <w:proofErr w:type="spellEnd"/>
      <w:r w:rsidR="00C161AD">
        <w:t xml:space="preserve"> fault patterns, and in particular, the implications for th</w:t>
      </w:r>
      <w:r w:rsidR="00E80DE4">
        <w:t xml:space="preserve">eir orientation distributions. </w:t>
      </w:r>
      <w:r w:rsidR="00C161AD">
        <w:t xml:space="preserve">Section 3 </w:t>
      </w:r>
      <w:r w:rsidR="008F3C4F">
        <w:t xml:space="preserve">describes the datasets used in this study, including synthetic and natural fault orientation distributions. </w:t>
      </w:r>
      <w:r w:rsidR="007B0324">
        <w:t xml:space="preserve">Section 4 </w:t>
      </w:r>
      <w:r w:rsidR="00C161AD">
        <w:t xml:space="preserve">presents tests for assessing </w:t>
      </w:r>
      <w:r w:rsidR="004B203A">
        <w:lastRenderedPageBreak/>
        <w:t>whether</w:t>
      </w:r>
      <w:r w:rsidR="00C161AD">
        <w:t xml:space="preserve"> an orientation distribution has orthorhombic symmetry, including a description of the mathematics and the R code.  </w:t>
      </w:r>
      <w:r w:rsidR="00C313DF">
        <w:t xml:space="preserve">The examples used include synthetic orientation datasets of known attributes (with and without added ‘noise’) and natural datasets of fault patterns measured in a range of rock types.  </w:t>
      </w:r>
      <w:r w:rsidR="00C161AD">
        <w:t>A Discussion of issues</w:t>
      </w:r>
      <w:r w:rsidR="008738C3">
        <w:t xml:space="preserve"> raised </w:t>
      </w:r>
      <w:proofErr w:type="gramStart"/>
      <w:r w:rsidR="008738C3">
        <w:t>is provided</w:t>
      </w:r>
      <w:proofErr w:type="gramEnd"/>
      <w:r w:rsidR="008738C3">
        <w:t xml:space="preserve"> in Section 5</w:t>
      </w:r>
      <w:r w:rsidR="00C161AD">
        <w:t xml:space="preserve">, </w:t>
      </w:r>
      <w:r w:rsidR="00E70514">
        <w:t xml:space="preserve">and </w:t>
      </w:r>
      <w:r w:rsidR="00C161AD">
        <w:t>i</w:t>
      </w:r>
      <w:r w:rsidR="007C1F40">
        <w:t xml:space="preserve">s followed by a short Summary. </w:t>
      </w:r>
      <w:r w:rsidR="008B7877">
        <w:t xml:space="preserve">The R code </w:t>
      </w:r>
      <w:r w:rsidR="006109A8">
        <w:t xml:space="preserve">is available from </w:t>
      </w:r>
      <w:hyperlink r:id="rId9" w:history="1">
        <w:r w:rsidR="00617659" w:rsidRPr="008C5BF3">
          <w:rPr>
            <w:rStyle w:val="Hyperlink"/>
          </w:rPr>
          <w:t>http://www.mcs.st-andrews.ac.uk/~pej/2mode_tests.html</w:t>
        </w:r>
      </w:hyperlink>
    </w:p>
    <w:p w14:paraId="06756883" w14:textId="77777777" w:rsidR="008C5A0F" w:rsidRDefault="008C5A0F" w:rsidP="0040478C">
      <w:pPr>
        <w:spacing w:after="200" w:line="276" w:lineRule="auto"/>
        <w:jc w:val="both"/>
      </w:pPr>
    </w:p>
    <w:p w14:paraId="43527D25" w14:textId="01E0BCDB" w:rsidR="00E266A7" w:rsidRPr="007C23F5" w:rsidRDefault="00350784" w:rsidP="0040478C">
      <w:pPr>
        <w:spacing w:after="200" w:line="276" w:lineRule="auto"/>
        <w:jc w:val="both"/>
        <w:rPr>
          <w:b/>
        </w:rPr>
      </w:pPr>
      <w:r w:rsidRPr="007C23F5">
        <w:rPr>
          <w:b/>
        </w:rPr>
        <w:t xml:space="preserve">2. </w:t>
      </w:r>
      <w:r w:rsidR="00A31DFE">
        <w:rPr>
          <w:b/>
        </w:rPr>
        <w:t>B</w:t>
      </w:r>
      <w:r w:rsidR="00B93F19">
        <w:rPr>
          <w:b/>
        </w:rPr>
        <w:t xml:space="preserve">imodal </w:t>
      </w:r>
      <w:r w:rsidR="00A31DFE">
        <w:rPr>
          <w:b/>
        </w:rPr>
        <w:t xml:space="preserve">(conjugate) </w:t>
      </w:r>
      <w:r w:rsidR="00B93F19">
        <w:rPr>
          <w:b/>
        </w:rPr>
        <w:t xml:space="preserve">versus </w:t>
      </w:r>
      <w:proofErr w:type="spellStart"/>
      <w:r w:rsidR="00B015E5">
        <w:rPr>
          <w:b/>
        </w:rPr>
        <w:t>quadri</w:t>
      </w:r>
      <w:r w:rsidR="00B93F19">
        <w:rPr>
          <w:b/>
        </w:rPr>
        <w:t>modal</w:t>
      </w:r>
      <w:proofErr w:type="spellEnd"/>
      <w:r w:rsidR="00B93F19">
        <w:rPr>
          <w:b/>
        </w:rPr>
        <w:t xml:space="preserve"> fault patterns</w:t>
      </w:r>
      <w:r w:rsidR="007A0792" w:rsidRPr="007C23F5">
        <w:rPr>
          <w:b/>
        </w:rPr>
        <w:t xml:space="preserve"> </w:t>
      </w:r>
    </w:p>
    <w:p w14:paraId="4FF1DDD3" w14:textId="57AFA10E" w:rsidR="003F6032" w:rsidRDefault="004956FD" w:rsidP="0040478C">
      <w:pPr>
        <w:spacing w:after="200" w:line="276" w:lineRule="auto"/>
        <w:jc w:val="both"/>
      </w:pPr>
      <w:r>
        <w:t xml:space="preserve">Conjugate fault patterns should display bimodal or bilateral symmetry </w:t>
      </w:r>
      <w:r w:rsidR="001273E8">
        <w:t>in their orientation distribution</w:t>
      </w:r>
      <w:r w:rsidR="00381735">
        <w:t>s</w:t>
      </w:r>
      <w:r w:rsidR="001273E8">
        <w:t xml:space="preserve"> on a stereogram, and ideally show </w:t>
      </w:r>
      <w:r>
        <w:t xml:space="preserve">evidence of central tendency about </w:t>
      </w:r>
      <w:r w:rsidR="001273E8">
        <w:t xml:space="preserve">these </w:t>
      </w:r>
      <w:r>
        <w:t>two clusters</w:t>
      </w:r>
      <w:r w:rsidR="001273E8">
        <w:t xml:space="preserve"> (</w:t>
      </w:r>
      <w:r w:rsidR="000D6AF0">
        <w:t xml:space="preserve">Figure 1d; </w:t>
      </w:r>
      <w:r w:rsidR="001273E8">
        <w:t xml:space="preserve">Healy et al., 2015). </w:t>
      </w:r>
      <w:proofErr w:type="spellStart"/>
      <w:r w:rsidR="003F6032">
        <w:t>Quadrimodal</w:t>
      </w:r>
      <w:proofErr w:type="spellEnd"/>
      <w:r w:rsidR="003F6032">
        <w:t xml:space="preserve"> fault patterns should</w:t>
      </w:r>
      <w:r w:rsidR="00A42544">
        <w:t xml:space="preserve"> show orthorhombic symmetry and, ideally, </w:t>
      </w:r>
      <w:r w:rsidR="003F6032">
        <w:t xml:space="preserve">evidence of central tendency about </w:t>
      </w:r>
      <w:r w:rsidR="002A1128">
        <w:t xml:space="preserve">the </w:t>
      </w:r>
      <w:r w:rsidR="003F6032">
        <w:t xml:space="preserve">four clusters </w:t>
      </w:r>
      <w:r w:rsidR="002A1128">
        <w:t>of poles on stereograms</w:t>
      </w:r>
      <w:r w:rsidR="000D0B6C">
        <w:t xml:space="preserve"> (Figure 1e)</w:t>
      </w:r>
      <w:r w:rsidR="002A1128">
        <w:t xml:space="preserve">. </w:t>
      </w:r>
      <w:r w:rsidR="00B1546F">
        <w:t>M</w:t>
      </w:r>
      <w:r w:rsidR="003F6032">
        <w:t xml:space="preserve">ore general </w:t>
      </w:r>
      <w:proofErr w:type="spellStart"/>
      <w:r w:rsidR="003F6032">
        <w:t>polymodal</w:t>
      </w:r>
      <w:proofErr w:type="spellEnd"/>
      <w:r w:rsidR="003F6032">
        <w:t xml:space="preserve"> patterns should show orthorhombic symmetry</w:t>
      </w:r>
      <w:r w:rsidR="00B1546F">
        <w:t xml:space="preserve"> with an even distribution of poles in two arcs</w:t>
      </w:r>
      <w:r w:rsidR="007B64C4">
        <w:t xml:space="preserve"> (Figure 1f)</w:t>
      </w:r>
      <w:r w:rsidR="00B1546F">
        <w:t xml:space="preserve">. </w:t>
      </w:r>
      <w:r w:rsidR="003D6D24">
        <w:t>For data collected from natural fault planes some degree of intrinsic variation, or 'noise', is to be expected</w:t>
      </w:r>
      <w:r w:rsidR="001D4509">
        <w:t>.</w:t>
      </w:r>
      <w:r w:rsidR="007B2017">
        <w:t xml:space="preserve"> Two </w:t>
      </w:r>
      <w:r w:rsidR="007F00F2">
        <w:t xml:space="preserve">natural </w:t>
      </w:r>
      <w:r w:rsidR="007B2017">
        <w:t xml:space="preserve">example datasets </w:t>
      </w:r>
      <w:proofErr w:type="gramStart"/>
      <w:r w:rsidR="007B2017">
        <w:t>are shown</w:t>
      </w:r>
      <w:proofErr w:type="gramEnd"/>
      <w:r w:rsidR="007B2017">
        <w:t xml:space="preserve"> in Figure 2. The Gruinard dataset is from a small area (~ 5 m</w:t>
      </w:r>
      <w:r w:rsidR="007B2017" w:rsidRPr="00561A3A">
        <w:rPr>
          <w:vertAlign w:val="superscript"/>
        </w:rPr>
        <w:t>2</w:t>
      </w:r>
      <w:r w:rsidR="007B2017">
        <w:t>) in one outcrop of Triassic sandstone, and shows poles to deformation bands with small normal offsets (mm</w:t>
      </w:r>
      <w:r w:rsidR="006C228C">
        <w:t>-cm</w:t>
      </w:r>
      <w:r w:rsidR="007B2017">
        <w:t xml:space="preserve">). The </w:t>
      </w:r>
      <w:proofErr w:type="spellStart"/>
      <w:r w:rsidR="007B2017">
        <w:t>Flamborough</w:t>
      </w:r>
      <w:proofErr w:type="spellEnd"/>
      <w:r w:rsidR="007B2017">
        <w:t xml:space="preserve"> dataset is taken from Peacock &amp; Sanderson (1992; their Figure 2a) and shows poles to </w:t>
      </w:r>
      <w:r w:rsidR="00B5118F">
        <w:t xml:space="preserve">normal </w:t>
      </w:r>
      <w:r w:rsidR="007B2017">
        <w:t xml:space="preserve">faults in </w:t>
      </w:r>
      <w:r w:rsidR="006635A4">
        <w:t xml:space="preserve">the </w:t>
      </w:r>
      <w:r w:rsidR="007B2017">
        <w:t xml:space="preserve">Cretaceous chalk along a coastline section of about 1.8 km. The authors clearly state that the approximately E-W orientation of the coastline may have generated a sampling bias in the measured data (i.e. </w:t>
      </w:r>
      <w:r w:rsidR="0075775C">
        <w:t xml:space="preserve">a </w:t>
      </w:r>
      <w:r w:rsidR="007B2017">
        <w:t>relative under-representation of E-W oriented fa</w:t>
      </w:r>
      <w:r w:rsidR="00E1403C">
        <w:t>u</w:t>
      </w:r>
      <w:r w:rsidR="007B2017">
        <w:t xml:space="preserve">lt planes). </w:t>
      </w:r>
      <w:r w:rsidR="00561A3A">
        <w:t xml:space="preserve">Both </w:t>
      </w:r>
      <w:r w:rsidR="00D952A8">
        <w:t>datasets illustrate the nature of the problem</w:t>
      </w:r>
      <w:r w:rsidR="00A945FB">
        <w:t xml:space="preserve"> addressed in this paper</w:t>
      </w:r>
      <w:r w:rsidR="00D952A8">
        <w:t xml:space="preserve">: given </w:t>
      </w:r>
      <w:r w:rsidR="00245860">
        <w:t>variable,</w:t>
      </w:r>
      <w:r w:rsidR="00ED07E1">
        <w:t xml:space="preserve"> incomplete and noisy data </w:t>
      </w:r>
      <w:r w:rsidR="00D952A8">
        <w:t>of different sample sizes, how can we assess the symmetry of the underlying fault pattern?</w:t>
      </w:r>
    </w:p>
    <w:p w14:paraId="0ABB62EE" w14:textId="621F0094" w:rsidR="002E59B5" w:rsidRDefault="002E59B5" w:rsidP="002E59B5">
      <w:pPr>
        <w:spacing w:after="200" w:line="276" w:lineRule="auto"/>
        <w:jc w:val="both"/>
      </w:pPr>
      <w:r w:rsidRPr="00A6686D">
        <w:rPr>
          <w:b/>
        </w:rPr>
        <w:t>Figure 2.</w:t>
      </w:r>
      <w:r>
        <w:t xml:space="preserve"> Stereographic projections (equal area, lower hemisphere) showing two natural fault datasets. a) Poles to deformation bands (small offset faults; </w:t>
      </w:r>
      <w:r w:rsidRPr="005F04A0">
        <w:rPr>
          <w:i/>
        </w:rPr>
        <w:t>n</w:t>
      </w:r>
      <w:r w:rsidR="00152358">
        <w:t>=</w:t>
      </w:r>
      <w:r>
        <w:t>75) measured in Triassic sandstones at Gruinard Bay, NW Scotland</w:t>
      </w:r>
      <w:r w:rsidR="009F159D">
        <w:t xml:space="preserve"> (Healy et al., 2006a, b)</w:t>
      </w:r>
      <w:r>
        <w:t xml:space="preserve">.  These data </w:t>
      </w:r>
      <w:proofErr w:type="gramStart"/>
      <w:r>
        <w:t>were collected</w:t>
      </w:r>
      <w:proofErr w:type="gramEnd"/>
      <w:r>
        <w:t xml:space="preserve"> from a small contiguous outcrop, approximately 10 m</w:t>
      </w:r>
      <w:r w:rsidRPr="00F119E1">
        <w:rPr>
          <w:vertAlign w:val="superscript"/>
        </w:rPr>
        <w:t>2</w:t>
      </w:r>
      <w:r w:rsidRPr="00F119E1">
        <w:t xml:space="preserve"> in area</w:t>
      </w:r>
      <w:r>
        <w:t xml:space="preserve">. b) Poles to faults measured in Cretaceous chalk at </w:t>
      </w:r>
      <w:proofErr w:type="spellStart"/>
      <w:r>
        <w:t>Flamborough</w:t>
      </w:r>
      <w:proofErr w:type="spellEnd"/>
      <w:r>
        <w:t xml:space="preserve"> Head, NE England (</w:t>
      </w:r>
      <w:r w:rsidRPr="005F04A0">
        <w:rPr>
          <w:i/>
        </w:rPr>
        <w:t>n</w:t>
      </w:r>
      <w:r w:rsidR="00FE69CA">
        <w:t>=</w:t>
      </w:r>
      <w:r>
        <w:t xml:space="preserve">346). These data </w:t>
      </w:r>
      <w:proofErr w:type="gramStart"/>
      <w:r>
        <w:t>have been taken from a figure published in Peacock &amp; Sanderson (1992) and re-plotted in the same format as those from Gruinard</w:t>
      </w:r>
      <w:proofErr w:type="gramEnd"/>
      <w:r>
        <w:t xml:space="preserve">. </w:t>
      </w:r>
    </w:p>
    <w:p w14:paraId="4E81E239" w14:textId="77777777" w:rsidR="00831D24" w:rsidRDefault="00831D24" w:rsidP="0040478C">
      <w:pPr>
        <w:spacing w:after="200" w:line="276" w:lineRule="auto"/>
        <w:jc w:val="both"/>
      </w:pPr>
    </w:p>
    <w:p w14:paraId="62986FC0" w14:textId="170ECC3E" w:rsidR="007F267B" w:rsidRPr="000E5FCA" w:rsidRDefault="008F3C4F" w:rsidP="0040478C">
      <w:pPr>
        <w:spacing w:after="200" w:line="276" w:lineRule="auto"/>
        <w:jc w:val="both"/>
        <w:rPr>
          <w:b/>
        </w:rPr>
      </w:pPr>
      <w:r w:rsidRPr="000E5FCA">
        <w:rPr>
          <w:b/>
        </w:rPr>
        <w:t>3. D</w:t>
      </w:r>
      <w:r w:rsidR="007F267B" w:rsidRPr="000E5FCA">
        <w:rPr>
          <w:b/>
        </w:rPr>
        <w:t xml:space="preserve">atasets used in this study </w:t>
      </w:r>
    </w:p>
    <w:p w14:paraId="0D03FF55" w14:textId="21E8FC6B" w:rsidR="007F267B" w:rsidRPr="000E5FCA" w:rsidRDefault="009B2623" w:rsidP="0040478C">
      <w:pPr>
        <w:spacing w:after="200" w:line="276" w:lineRule="auto"/>
        <w:jc w:val="both"/>
        <w:rPr>
          <w:i/>
        </w:rPr>
      </w:pPr>
      <w:r w:rsidRPr="000E5FCA">
        <w:rPr>
          <w:i/>
        </w:rPr>
        <w:t>3.1</w:t>
      </w:r>
      <w:r w:rsidR="000E5FCA">
        <w:rPr>
          <w:i/>
        </w:rPr>
        <w:t>. S</w:t>
      </w:r>
      <w:r w:rsidR="007F267B" w:rsidRPr="000E5FCA">
        <w:rPr>
          <w:i/>
        </w:rPr>
        <w:t xml:space="preserve">ynthetic datasets </w:t>
      </w:r>
    </w:p>
    <w:p w14:paraId="4C7B33F1" w14:textId="77777777" w:rsidR="00DA30C5" w:rsidRDefault="005142B8" w:rsidP="00DA30C5">
      <w:pPr>
        <w:spacing w:after="200" w:line="276" w:lineRule="auto"/>
        <w:jc w:val="both"/>
      </w:pPr>
      <w:r>
        <w:t xml:space="preserve">We use two sets of synthetic data to test our new statistical methods, both based on the Watson </w:t>
      </w:r>
      <w:r w:rsidR="007D6818">
        <w:t xml:space="preserve">orientation </w:t>
      </w:r>
      <w:r>
        <w:t>distribution</w:t>
      </w:r>
      <w:r w:rsidR="007D6818">
        <w:t xml:space="preserve"> </w:t>
      </w:r>
      <w:r>
        <w:t>(</w:t>
      </w:r>
      <w:r w:rsidR="006F136F">
        <w:t xml:space="preserve">Fisher et al., 1987 section </w:t>
      </w:r>
      <w:r w:rsidR="004F42EE">
        <w:t>4.4.4</w:t>
      </w:r>
      <w:r w:rsidR="006F136F">
        <w:t xml:space="preserve">; </w:t>
      </w:r>
      <w:proofErr w:type="spellStart"/>
      <w:r w:rsidR="006F136F">
        <w:t>Mardia</w:t>
      </w:r>
      <w:proofErr w:type="spellEnd"/>
      <w:r w:rsidR="006F136F">
        <w:t xml:space="preserve"> &amp; Jupp, 2000 section </w:t>
      </w:r>
      <w:r w:rsidR="004F42EE">
        <w:t>9.4.2</w:t>
      </w:r>
      <w:r>
        <w:t>).</w:t>
      </w:r>
      <w:r w:rsidR="007D6818">
        <w:t xml:space="preserve"> This is </w:t>
      </w:r>
      <w:r w:rsidR="00732770">
        <w:t xml:space="preserve">the </w:t>
      </w:r>
      <w:r w:rsidR="006F136F">
        <w:t>simplest non-uniform</w:t>
      </w:r>
      <w:r w:rsidR="00732770">
        <w:t xml:space="preserve"> distribution for describing undirected lines, and </w:t>
      </w:r>
      <w:r w:rsidR="00F57657">
        <w:t>has probability density</w:t>
      </w:r>
    </w:p>
    <w:p w14:paraId="0D56EC23" w14:textId="2D849385" w:rsidR="007D6818" w:rsidRPr="00DA30C5" w:rsidRDefault="007D6818" w:rsidP="00DA30C5">
      <w:pPr>
        <w:spacing w:after="200" w:line="276" w:lineRule="auto"/>
        <w:ind w:firstLine="720"/>
        <w:jc w:val="both"/>
      </w:pPr>
      <w:r>
        <w:t xml:space="preserve"> </w:t>
      </w:r>
      <m:oMath>
        <m:r>
          <w:rPr>
            <w:rFonts w:ascii="Cambria Math" w:hAnsi="Cambria Math"/>
          </w:rPr>
          <m:t>f</m:t>
        </m:r>
        <m:d>
          <m:dPr>
            <m:ctrlPr>
              <w:rPr>
                <w:rFonts w:ascii="Cambria Math" w:hAnsi="Cambria Math"/>
                <w:i/>
              </w:rPr>
            </m:ctrlPr>
          </m:dPr>
          <m:e>
            <m:r>
              <w:rPr>
                <w:rFonts w:ascii="Cambria Math" w:hAnsi="Cambria Math"/>
              </w:rPr>
              <m:t>±</m:t>
            </m:r>
            <m:r>
              <m:rPr>
                <m:sty m:val="bi"/>
              </m:rPr>
              <w:rPr>
                <w:rFonts w:ascii="Cambria Math" w:hAnsi="Cambria Math"/>
              </w:rPr>
              <m:t>x</m:t>
            </m:r>
            <m:r>
              <w:rPr>
                <w:rFonts w:ascii="Cambria Math" w:hAnsi="Cambria Math"/>
              </w:rPr>
              <m:t>;</m:t>
            </m:r>
            <m:r>
              <m:rPr>
                <m:sty m:val="bi"/>
              </m:rPr>
              <w:rPr>
                <w:rFonts w:ascii="Cambria Math" w:hAnsi="Cambria Math"/>
              </w:rPr>
              <m:t>μ</m:t>
            </m:r>
            <m:r>
              <w:rPr>
                <w:rFonts w:ascii="Cambria Math" w:hAnsi="Cambria Math"/>
              </w:rPr>
              <m:t>,κ</m:t>
            </m:r>
          </m:e>
        </m:d>
        <m:r>
          <w:rPr>
            <w:rFonts w:ascii="Cambria Math" w:hAnsi="Cambria Math"/>
          </w:rPr>
          <m:t xml:space="preserve"> ∝exp</m:t>
        </m:r>
        <m:d>
          <m:dPr>
            <m:begChr m:val="{"/>
            <m:endChr m:val="}"/>
            <m:ctrlPr>
              <w:rPr>
                <w:rFonts w:ascii="Cambria Math" w:hAnsi="Cambria Math"/>
                <w:i/>
              </w:rPr>
            </m:ctrlPr>
          </m:dPr>
          <m:e>
            <m:r>
              <w:rPr>
                <w:rFonts w:ascii="Cambria Math" w:hAnsi="Cambria Math"/>
              </w:rPr>
              <m:t>κ</m:t>
            </m:r>
            <m:sSup>
              <m:sSupPr>
                <m:ctrlPr>
                  <w:rPr>
                    <w:rFonts w:ascii="Cambria Math" w:hAnsi="Cambria Math"/>
                    <w:i/>
                  </w:rPr>
                </m:ctrlPr>
              </m:sSupPr>
              <m:e>
                <m:d>
                  <m:dPr>
                    <m:ctrlPr>
                      <w:rPr>
                        <w:rFonts w:ascii="Cambria Math" w:hAnsi="Cambria Math"/>
                        <w:i/>
                      </w:rPr>
                    </m:ctrlPr>
                  </m:dPr>
                  <m:e>
                    <m:sSup>
                      <m:sSupPr>
                        <m:ctrlPr>
                          <w:rPr>
                            <w:rFonts w:ascii="Cambria Math" w:hAnsi="Cambria Math"/>
                            <w:b/>
                            <w:i/>
                          </w:rPr>
                        </m:ctrlPr>
                      </m:sSupPr>
                      <m:e>
                        <m:r>
                          <m:rPr>
                            <m:sty m:val="bi"/>
                          </m:rPr>
                          <w:rPr>
                            <w:rFonts w:ascii="Cambria Math" w:hAnsi="Cambria Math"/>
                          </w:rPr>
                          <m:t>μ</m:t>
                        </m:r>
                      </m:e>
                      <m:sup>
                        <m:r>
                          <m:rPr>
                            <m:sty m:val="bi"/>
                          </m:rPr>
                          <w:rPr>
                            <w:rFonts w:ascii="Cambria Math" w:hAnsi="Cambria Math"/>
                          </w:rPr>
                          <m:t>T</m:t>
                        </m:r>
                      </m:sup>
                    </m:sSup>
                    <m:r>
                      <m:rPr>
                        <m:sty m:val="bi"/>
                      </m:rPr>
                      <w:rPr>
                        <w:rFonts w:ascii="Cambria Math" w:hAnsi="Cambria Math"/>
                      </w:rPr>
                      <m:t>x</m:t>
                    </m:r>
                  </m:e>
                </m:d>
              </m:e>
              <m:sup>
                <m:r>
                  <w:rPr>
                    <w:rFonts w:ascii="Cambria Math" w:hAnsi="Cambria Math"/>
                  </w:rPr>
                  <m:t>2</m:t>
                </m:r>
              </m:sup>
            </m:sSup>
          </m:e>
        </m:d>
      </m:oMath>
    </w:p>
    <w:p w14:paraId="6EB39C2A" w14:textId="258C0892" w:rsidR="00EB4183" w:rsidRDefault="007D6818" w:rsidP="0040478C">
      <w:pPr>
        <w:spacing w:after="200" w:line="276" w:lineRule="auto"/>
        <w:jc w:val="both"/>
      </w:pPr>
      <w:proofErr w:type="gramStart"/>
      <w:r>
        <w:lastRenderedPageBreak/>
        <w:t>where</w:t>
      </w:r>
      <w:proofErr w:type="gramEnd"/>
      <w:r>
        <w:t xml:space="preserve"> </w:t>
      </w:r>
      <w:r w:rsidR="007F5229" w:rsidRPr="007F5229">
        <w:rPr>
          <w:rFonts w:ascii="Symbol" w:hAnsi="Symbol"/>
          <w:i/>
        </w:rPr>
        <w:t></w:t>
      </w:r>
      <w:r>
        <w:t xml:space="preserve"> is a measure of concentration (low</w:t>
      </w:r>
      <w:r w:rsidR="00380D02">
        <w:t xml:space="preserve"> </w:t>
      </w:r>
      <w:r w:rsidR="00A63170" w:rsidRPr="007F5229">
        <w:rPr>
          <w:rFonts w:ascii="Symbol" w:hAnsi="Symbol"/>
          <w:i/>
        </w:rPr>
        <w:t></w:t>
      </w:r>
      <w:r>
        <w:t xml:space="preserve"> = disperse</w:t>
      </w:r>
      <w:r w:rsidR="00650417">
        <w:t>d</w:t>
      </w:r>
      <w:r>
        <w:t xml:space="preserve">, high </w:t>
      </w:r>
      <w:r w:rsidR="00A63170" w:rsidRPr="007F5229">
        <w:rPr>
          <w:rFonts w:ascii="Symbol" w:hAnsi="Symbol"/>
          <w:i/>
        </w:rPr>
        <w:t></w:t>
      </w:r>
      <w:r w:rsidR="004C37D7">
        <w:t xml:space="preserve"> </w:t>
      </w:r>
      <w:r>
        <w:t>= concentrated)</w:t>
      </w:r>
      <w:r w:rsidR="00DA30C5">
        <w:t xml:space="preserve"> and </w:t>
      </w:r>
      <w:r w:rsidR="00DA30C5" w:rsidRPr="00E63192">
        <w:rPr>
          <w:rFonts w:ascii="Symbol" w:hAnsi="Symbol"/>
          <w:b/>
          <w:i/>
        </w:rPr>
        <w:t></w:t>
      </w:r>
      <w:r w:rsidR="00DA30C5">
        <w:t xml:space="preserve"> is the mean direction</w:t>
      </w:r>
      <w:r>
        <w:t xml:space="preserve">. </w:t>
      </w:r>
      <w:r w:rsidR="004C37D7">
        <w:t>To obtain</w:t>
      </w:r>
      <w:r w:rsidR="007F5229">
        <w:t xml:space="preserve"> </w:t>
      </w:r>
      <w:r w:rsidR="00476D87">
        <w:t xml:space="preserve">a </w:t>
      </w:r>
      <w:r w:rsidR="007F5229">
        <w:t>synthetic conjugate fault pattern</w:t>
      </w:r>
      <w:r w:rsidR="00476D87">
        <w:t xml:space="preserve"> data</w:t>
      </w:r>
      <w:r w:rsidR="007F5229">
        <w:t>s</w:t>
      </w:r>
      <w:r w:rsidR="00476D87">
        <w:t xml:space="preserve">et of size </w:t>
      </w:r>
      <w:r w:rsidR="00476D87" w:rsidRPr="00193A0D">
        <w:rPr>
          <w:i/>
        </w:rPr>
        <w:t>n</w:t>
      </w:r>
      <w:r w:rsidR="00476D87">
        <w:rPr>
          <w:i/>
        </w:rPr>
        <w:t xml:space="preserve"> </w:t>
      </w:r>
      <w:r w:rsidR="00476D87" w:rsidRPr="00476D87">
        <w:t>we combin</w:t>
      </w:r>
      <w:r w:rsidR="00476D87">
        <w:t>e</w:t>
      </w:r>
      <w:r w:rsidR="00476D87" w:rsidRPr="00476D87">
        <w:t xml:space="preserve">d two </w:t>
      </w:r>
      <w:r w:rsidR="00476D87">
        <w:t xml:space="preserve">datasets of size </w:t>
      </w:r>
      <w:r w:rsidR="00476D87" w:rsidRPr="00476D87">
        <w:rPr>
          <w:i/>
        </w:rPr>
        <w:t>n</w:t>
      </w:r>
      <w:r w:rsidR="00476D87">
        <w:t xml:space="preserve">/2, each from a Watson distribution, the two mean directions </w:t>
      </w:r>
      <w:proofErr w:type="gramStart"/>
      <w:r w:rsidR="00476D87">
        <w:t>being separated</w:t>
      </w:r>
      <w:proofErr w:type="gramEnd"/>
      <w:r w:rsidR="00476D87">
        <w:t xml:space="preserve"> by </w:t>
      </w:r>
      <w:r w:rsidR="00C1458C">
        <w:t>60</w:t>
      </w:r>
      <w:r w:rsidR="00193A0D">
        <w:rPr>
          <w:rFonts w:ascii="Cambria" w:hAnsi="Cambria"/>
        </w:rPr>
        <w:t>°</w:t>
      </w:r>
      <w:r w:rsidR="00476D87">
        <w:rPr>
          <w:rFonts w:ascii="Cambria" w:hAnsi="Cambria"/>
        </w:rPr>
        <w:t xml:space="preserve">. We generated synthetic bimodal datasets </w:t>
      </w:r>
      <w:r w:rsidR="007F5229">
        <w:t xml:space="preserve">with </w:t>
      </w:r>
      <w:r w:rsidR="007F5229" w:rsidRPr="00193A0D">
        <w:rPr>
          <w:rFonts w:ascii="Symbol" w:hAnsi="Symbol"/>
          <w:i/>
        </w:rPr>
        <w:t></w:t>
      </w:r>
      <w:r w:rsidR="007F5229">
        <w:t xml:space="preserve"> = 10, 20, 50 and 100</w:t>
      </w:r>
      <w:r w:rsidR="00476D87">
        <w:t xml:space="preserve"> and </w:t>
      </w:r>
      <w:r w:rsidR="00476D87" w:rsidRPr="00476D87">
        <w:rPr>
          <w:i/>
        </w:rPr>
        <w:t>n</w:t>
      </w:r>
      <w:r w:rsidR="001F25C8">
        <w:t>=</w:t>
      </w:r>
      <w:r w:rsidR="00476D87">
        <w:t>52 and 360</w:t>
      </w:r>
      <w:r w:rsidR="007F5229">
        <w:t xml:space="preserve"> </w:t>
      </w:r>
      <w:r w:rsidR="00C90A18">
        <w:t>(Figure 3)</w:t>
      </w:r>
      <w:r w:rsidR="007F5229">
        <w:t xml:space="preserve">. This variation in </w:t>
      </w:r>
      <w:r w:rsidR="007F5229" w:rsidRPr="00E90C3D">
        <w:rPr>
          <w:rFonts w:ascii="Symbol" w:hAnsi="Symbol"/>
          <w:i/>
        </w:rPr>
        <w:t></w:t>
      </w:r>
      <w:r w:rsidR="007F5229">
        <w:t xml:space="preserve"> provides a useful range of concentrations </w:t>
      </w:r>
      <w:r w:rsidR="004872A4">
        <w:t>encompassing</w:t>
      </w:r>
      <w:r w:rsidR="007F5229">
        <w:t xml:space="preserve"> those observed in measured natural data</w:t>
      </w:r>
      <w:r w:rsidR="00516241">
        <w:t>, and can be considered as a measure of 'noise' within the distribution</w:t>
      </w:r>
      <w:r w:rsidR="007F5229">
        <w:t>. Many natural datasets are often small due to limitations of outcrop size, and the two sizes of synthetic distribution (</w:t>
      </w:r>
      <w:r w:rsidR="007F5229" w:rsidRPr="004C6AFF">
        <w:rPr>
          <w:i/>
        </w:rPr>
        <w:t>n</w:t>
      </w:r>
      <w:r w:rsidR="007F5229">
        <w:t>=52 and 360) allow for this fact.</w:t>
      </w:r>
      <w:r w:rsidR="00C1458C">
        <w:t xml:space="preserve"> For synthetic </w:t>
      </w:r>
      <w:proofErr w:type="spellStart"/>
      <w:r w:rsidR="00C9100B">
        <w:t>poly</w:t>
      </w:r>
      <w:r w:rsidR="00C1458C">
        <w:t>modal</w:t>
      </w:r>
      <w:proofErr w:type="spellEnd"/>
      <w:r w:rsidR="00C1458C">
        <w:t xml:space="preserve"> </w:t>
      </w:r>
      <w:r w:rsidR="00C9100B">
        <w:t xml:space="preserve">fault patterns, we generated </w:t>
      </w:r>
      <w:proofErr w:type="spellStart"/>
      <w:r w:rsidR="00C9100B">
        <w:t>quadrimodal</w:t>
      </w:r>
      <w:proofErr w:type="spellEnd"/>
      <w:r w:rsidR="00C9100B">
        <w:t xml:space="preserve"> datasets </w:t>
      </w:r>
      <w:r w:rsidR="008F7A5C">
        <w:t xml:space="preserve">of size </w:t>
      </w:r>
      <w:r w:rsidR="008F7A5C" w:rsidRPr="008F7A5C">
        <w:rPr>
          <w:i/>
        </w:rPr>
        <w:t>n</w:t>
      </w:r>
      <w:r w:rsidR="008F7A5C">
        <w:t xml:space="preserve"> by combining four Watson distributions of size </w:t>
      </w:r>
      <w:r w:rsidR="008F7A5C" w:rsidRPr="008F7A5C">
        <w:rPr>
          <w:i/>
        </w:rPr>
        <w:t>n</w:t>
      </w:r>
      <w:r w:rsidR="008F7A5C">
        <w:t xml:space="preserve">/4 with their </w:t>
      </w:r>
      <w:r w:rsidR="00C9100B">
        <w:t>mean directions separated by 60</w:t>
      </w:r>
      <w:r w:rsidR="002558CE">
        <w:rPr>
          <w:rFonts w:ascii="Cambria" w:hAnsi="Cambria"/>
        </w:rPr>
        <w:t>°</w:t>
      </w:r>
      <w:r w:rsidR="00C9100B">
        <w:t xml:space="preserve"> in dip (as above) and 52</w:t>
      </w:r>
      <w:r w:rsidR="002558CE">
        <w:rPr>
          <w:rFonts w:ascii="Cambria" w:hAnsi="Cambria"/>
        </w:rPr>
        <w:t>°</w:t>
      </w:r>
      <w:r w:rsidR="00C9100B">
        <w:t xml:space="preserve"> in strike (see Healy et al., 2006a, b). </w:t>
      </w:r>
      <w:r w:rsidR="007A4E0E">
        <w:t xml:space="preserve">By varying </w:t>
      </w:r>
      <w:r w:rsidR="007A4E0E" w:rsidRPr="004C6AFF">
        <w:rPr>
          <w:i/>
        </w:rPr>
        <w:t>n</w:t>
      </w:r>
      <w:r w:rsidR="007A4E0E">
        <w:t xml:space="preserve"> from 52 to 360 we cater for comparisons with smaller and larger natural datasets</w:t>
      </w:r>
      <w:r w:rsidR="008F7A5C">
        <w:t xml:space="preserve">, and as for the synthetic bimodal datasets, we varied </w:t>
      </w:r>
      <w:r w:rsidR="008F7A5C" w:rsidRPr="00193A0D">
        <w:rPr>
          <w:rFonts w:ascii="Symbol" w:hAnsi="Symbol"/>
          <w:i/>
        </w:rPr>
        <w:t></w:t>
      </w:r>
      <w:r w:rsidR="008F7A5C">
        <w:t xml:space="preserve">  in the range 10, 20, 50 and 100 (Figure 4).</w:t>
      </w:r>
    </w:p>
    <w:p w14:paraId="10DE0E31" w14:textId="77777777" w:rsidR="002E59B5" w:rsidRDefault="002E59B5" w:rsidP="002E59B5">
      <w:pPr>
        <w:spacing w:after="200" w:line="276" w:lineRule="auto"/>
        <w:jc w:val="both"/>
      </w:pPr>
      <w:r w:rsidRPr="00A71745">
        <w:rPr>
          <w:b/>
        </w:rPr>
        <w:t>Figure 3.</w:t>
      </w:r>
      <w:r>
        <w:t xml:space="preserve"> Stereographic projections (equal area, lower hemisphere) showing the eight synthetic datasets designed to model conjugate (bimodal) fault patterns in this study.  </w:t>
      </w:r>
      <w:r w:rsidRPr="0086246D">
        <w:rPr>
          <w:b/>
        </w:rPr>
        <w:t>a-d</w:t>
      </w:r>
      <w:r>
        <w:t xml:space="preserve">) Synthetic fault datasets derived from equal mixtures of two Watson distributions with mean pole directions separated by an inter-fault dip angle of 60 degrees. These models represent a ‘low fault count’ scenario, with </w:t>
      </w:r>
      <w:r w:rsidRPr="00611911">
        <w:rPr>
          <w:i/>
        </w:rPr>
        <w:t>n</w:t>
      </w:r>
      <w:r>
        <w:t xml:space="preserve"> = 52 and </w:t>
      </w:r>
      <w:r w:rsidRPr="005313A1">
        <w:rPr>
          <w:rFonts w:ascii="Symbol" w:hAnsi="Symbol"/>
          <w:i/>
        </w:rPr>
        <w:t></w:t>
      </w:r>
      <w:r>
        <w:t xml:space="preserve"> (the Watson dispersion parameter) varying from 10 to 100. </w:t>
      </w:r>
      <w:proofErr w:type="gramStart"/>
      <w:r w:rsidRPr="0086246D">
        <w:rPr>
          <w:b/>
        </w:rPr>
        <w:t>e-</w:t>
      </w:r>
      <w:proofErr w:type="gramEnd"/>
      <w:r w:rsidRPr="0086246D">
        <w:rPr>
          <w:b/>
        </w:rPr>
        <w:t>h</w:t>
      </w:r>
      <w:r>
        <w:t xml:space="preserve">) These models represent a ‘high fault count’ scenario, with </w:t>
      </w:r>
      <w:r w:rsidRPr="00611911">
        <w:rPr>
          <w:i/>
        </w:rPr>
        <w:t>n</w:t>
      </w:r>
      <w:r>
        <w:t xml:space="preserve"> = 360 and </w:t>
      </w:r>
      <w:r w:rsidRPr="00092A52">
        <w:rPr>
          <w:rFonts w:ascii="Symbol" w:hAnsi="Symbol"/>
          <w:i/>
        </w:rPr>
        <w:t></w:t>
      </w:r>
      <w:r>
        <w:t xml:space="preserve"> varying from 10 to 100.</w:t>
      </w:r>
    </w:p>
    <w:p w14:paraId="6AB62BEC" w14:textId="77777777" w:rsidR="002E59B5" w:rsidRDefault="002E59B5" w:rsidP="002E59B5">
      <w:pPr>
        <w:spacing w:after="200" w:line="276" w:lineRule="auto"/>
        <w:jc w:val="both"/>
      </w:pPr>
      <w:r w:rsidRPr="001D5544">
        <w:rPr>
          <w:b/>
        </w:rPr>
        <w:t>Figure 4.</w:t>
      </w:r>
      <w:r>
        <w:t xml:space="preserve"> Stereographic projections (equal area, lower hemisphere) showing the eight synthetic datasets designed to model </w:t>
      </w:r>
      <w:proofErr w:type="spellStart"/>
      <w:r>
        <w:t>quadrimodal</w:t>
      </w:r>
      <w:proofErr w:type="spellEnd"/>
      <w:r>
        <w:t xml:space="preserve"> fault patterns in this study.  </w:t>
      </w:r>
      <w:r w:rsidRPr="0086246D">
        <w:rPr>
          <w:b/>
        </w:rPr>
        <w:t>a-d</w:t>
      </w:r>
      <w:r>
        <w:t xml:space="preserve">) Synthetic fault datasets derived from equal mixtures of four Watson distributions with mean pole directions separated by an inter-fault dip angle of 60 degrees and a strike separation of 52 degrees. These models represent a ‘low fault count’ scenario, with </w:t>
      </w:r>
      <w:r w:rsidRPr="00D5799C">
        <w:rPr>
          <w:i/>
        </w:rPr>
        <w:t>n</w:t>
      </w:r>
      <w:r>
        <w:t xml:space="preserve"> = 52 and </w:t>
      </w:r>
      <w:r w:rsidRPr="0044516F">
        <w:rPr>
          <w:rFonts w:ascii="Symbol" w:hAnsi="Symbol"/>
          <w:i/>
        </w:rPr>
        <w:t></w:t>
      </w:r>
      <w:r>
        <w:t xml:space="preserve"> (the Watson dispersion parameter) varying from 10 to 100. </w:t>
      </w:r>
      <w:proofErr w:type="gramStart"/>
      <w:r w:rsidRPr="0086246D">
        <w:rPr>
          <w:b/>
        </w:rPr>
        <w:t>e-</w:t>
      </w:r>
      <w:proofErr w:type="gramEnd"/>
      <w:r w:rsidRPr="0086246D">
        <w:rPr>
          <w:b/>
        </w:rPr>
        <w:t>h</w:t>
      </w:r>
      <w:r>
        <w:t xml:space="preserve">) These models represent a ‘high fault count’ scenario, with </w:t>
      </w:r>
      <w:r w:rsidRPr="00D5799C">
        <w:rPr>
          <w:i/>
        </w:rPr>
        <w:t>n</w:t>
      </w:r>
      <w:r>
        <w:t xml:space="preserve"> = 360 and </w:t>
      </w:r>
      <w:r w:rsidRPr="0044516F">
        <w:rPr>
          <w:rFonts w:ascii="Symbol" w:hAnsi="Symbol"/>
          <w:i/>
        </w:rPr>
        <w:t></w:t>
      </w:r>
      <w:r>
        <w:t xml:space="preserve"> varying from 10 to 100.</w:t>
      </w:r>
    </w:p>
    <w:p w14:paraId="32308334" w14:textId="77777777" w:rsidR="00F97469" w:rsidRDefault="00F97469" w:rsidP="0040478C">
      <w:pPr>
        <w:spacing w:after="200" w:line="276" w:lineRule="auto"/>
        <w:jc w:val="both"/>
        <w:rPr>
          <w:i/>
        </w:rPr>
      </w:pPr>
    </w:p>
    <w:p w14:paraId="41D75374" w14:textId="16918B67" w:rsidR="007F267B" w:rsidRDefault="009B2623" w:rsidP="0040478C">
      <w:pPr>
        <w:spacing w:after="200" w:line="276" w:lineRule="auto"/>
        <w:jc w:val="both"/>
        <w:rPr>
          <w:i/>
        </w:rPr>
      </w:pPr>
      <w:r w:rsidRPr="000E5FCA">
        <w:rPr>
          <w:i/>
        </w:rPr>
        <w:t>3.</w:t>
      </w:r>
      <w:r w:rsidR="00956CDB">
        <w:rPr>
          <w:i/>
        </w:rPr>
        <w:t>2. N</w:t>
      </w:r>
      <w:r w:rsidR="007F267B" w:rsidRPr="000E5FCA">
        <w:rPr>
          <w:i/>
        </w:rPr>
        <w:t xml:space="preserve">atural datasets </w:t>
      </w:r>
    </w:p>
    <w:p w14:paraId="57EE102F" w14:textId="4C836190" w:rsidR="00133CDE" w:rsidRDefault="001D0038" w:rsidP="0040478C">
      <w:pPr>
        <w:spacing w:after="200" w:line="276" w:lineRule="auto"/>
        <w:jc w:val="both"/>
      </w:pPr>
      <w:r>
        <w:t xml:space="preserve">We use six natural datasets of fault plane orientations from regions </w:t>
      </w:r>
      <w:r w:rsidR="0038088A">
        <w:t xml:space="preserve">that have undergone or are currently </w:t>
      </w:r>
      <w:r>
        <w:t xml:space="preserve">undergoing extension - i.e. we believe the majority of these faults display normal kinematics (Figure 5). </w:t>
      </w:r>
      <w:r w:rsidR="00797282">
        <w:t xml:space="preserve">The Gruinard dataset </w:t>
      </w:r>
      <w:r w:rsidR="000F6563">
        <w:t xml:space="preserve">(Figure 5a) </w:t>
      </w:r>
      <w:r w:rsidR="00797282">
        <w:t xml:space="preserve">is from Gruinard Bay in NW Scotland (UK), and featured in previous publications (Healy et al., 2006a, b). The </w:t>
      </w:r>
      <w:r w:rsidR="0062005E">
        <w:t xml:space="preserve">most </w:t>
      </w:r>
      <w:r w:rsidR="00797282">
        <w:t xml:space="preserve">important thing about this dataset is that the fault planes </w:t>
      </w:r>
      <w:proofErr w:type="gramStart"/>
      <w:r w:rsidR="00797282">
        <w:t>were all measured</w:t>
      </w:r>
      <w:proofErr w:type="gramEnd"/>
      <w:r w:rsidR="00797282">
        <w:t xml:space="preserve"> from a small area (~5 m</w:t>
      </w:r>
      <w:r w:rsidR="00797282" w:rsidRPr="00D64067">
        <w:rPr>
          <w:vertAlign w:val="superscript"/>
        </w:rPr>
        <w:t>2</w:t>
      </w:r>
      <w:r w:rsidR="00797282">
        <w:t>) of contiguous outcrop</w:t>
      </w:r>
      <w:r w:rsidR="00151863">
        <w:t xml:space="preserve"> of a single </w:t>
      </w:r>
      <w:r w:rsidR="002A3DFB">
        <w:t xml:space="preserve">sandstone </w:t>
      </w:r>
      <w:r w:rsidR="00151863">
        <w:t>bed</w:t>
      </w:r>
      <w:r w:rsidR="00797282">
        <w:t xml:space="preserve">. This means it is highly unlikely that the orientation data </w:t>
      </w:r>
      <w:proofErr w:type="gramStart"/>
      <w:r w:rsidR="00797282">
        <w:t>are affected</w:t>
      </w:r>
      <w:proofErr w:type="gramEnd"/>
      <w:r w:rsidR="00797282">
        <w:t xml:space="preserve"> by any local stress variations and </w:t>
      </w:r>
      <w:r w:rsidR="002E2045">
        <w:t xml:space="preserve">subsequent </w:t>
      </w:r>
      <w:r w:rsidR="00797282">
        <w:t xml:space="preserve">possible rotations. The data </w:t>
      </w:r>
      <w:proofErr w:type="gramStart"/>
      <w:r w:rsidR="00797282">
        <w:t>were measured</w:t>
      </w:r>
      <w:proofErr w:type="gramEnd"/>
      <w:r w:rsidR="00797282">
        <w:t xml:space="preserve"> in normal-offset deformation bands with displacements of a few m</w:t>
      </w:r>
      <w:r w:rsidR="001E47E2">
        <w:t>illi</w:t>
      </w:r>
      <w:r w:rsidR="00797282">
        <w:t>m</w:t>
      </w:r>
      <w:r w:rsidR="001E47E2">
        <w:t>etres</w:t>
      </w:r>
      <w:r w:rsidR="00797282">
        <w:t xml:space="preserve"> to c</w:t>
      </w:r>
      <w:r w:rsidR="001E47E2">
        <w:t>enti</w:t>
      </w:r>
      <w:r w:rsidR="00797282">
        <w:t>m</w:t>
      </w:r>
      <w:r w:rsidR="001E47E2">
        <w:t>etres</w:t>
      </w:r>
      <w:r w:rsidR="00797282">
        <w:t xml:space="preserve">. </w:t>
      </w:r>
      <w:r w:rsidR="00F14C41">
        <w:t xml:space="preserve">The next three datasets </w:t>
      </w:r>
      <w:proofErr w:type="gramStart"/>
      <w:r w:rsidR="00F14C41">
        <w:t>have been digitised</w:t>
      </w:r>
      <w:proofErr w:type="gramEnd"/>
      <w:r w:rsidR="00F14C41">
        <w:t xml:space="preserve"> from published papers on normal faults in Utah (Figure 5b; Chimney Rock; </w:t>
      </w:r>
      <w:proofErr w:type="spellStart"/>
      <w:r w:rsidR="00F14C41">
        <w:t>Krantz</w:t>
      </w:r>
      <w:proofErr w:type="spellEnd"/>
      <w:r w:rsidR="00F14C41">
        <w:t xml:space="preserve">, 1989), northern England (Figure 5c; </w:t>
      </w:r>
      <w:proofErr w:type="spellStart"/>
      <w:r w:rsidR="00F14C41">
        <w:t>Flamborough</w:t>
      </w:r>
      <w:proofErr w:type="spellEnd"/>
      <w:r w:rsidR="00F14C41">
        <w:t xml:space="preserve">; </w:t>
      </w:r>
      <w:r w:rsidR="00E6696D">
        <w:t>P</w:t>
      </w:r>
      <w:r w:rsidR="00F14C41">
        <w:t>eacock</w:t>
      </w:r>
      <w:r w:rsidR="00E6696D">
        <w:t xml:space="preserve"> &amp; Sanderson, 1992</w:t>
      </w:r>
      <w:r w:rsidR="00F14C41">
        <w:t xml:space="preserve">) and Italy (Figure 5d; Central Italy; Roberts, </w:t>
      </w:r>
      <w:r w:rsidR="00155BAF">
        <w:t>2007</w:t>
      </w:r>
      <w:r w:rsidR="002827F8">
        <w:t>).</w:t>
      </w:r>
      <w:r w:rsidR="009C484D">
        <w:t xml:space="preserve"> </w:t>
      </w:r>
      <w:r w:rsidR="009E3584">
        <w:t xml:space="preserve">In each case, the published stereograms were digitised to extract </w:t>
      </w:r>
      <w:r w:rsidR="005E64B8">
        <w:t>C</w:t>
      </w:r>
      <w:r w:rsidR="009E3584">
        <w:t xml:space="preserve">artesian </w:t>
      </w:r>
      <w:r w:rsidR="00CF550E">
        <w:t>(</w:t>
      </w:r>
      <w:proofErr w:type="spellStart"/>
      <w:r w:rsidR="009E3584" w:rsidRPr="0038088A">
        <w:rPr>
          <w:i/>
        </w:rPr>
        <w:t>x</w:t>
      </w:r>
      <w:proofErr w:type="gramStart"/>
      <w:r w:rsidR="009E3584">
        <w:t>,</w:t>
      </w:r>
      <w:r w:rsidR="009E3584" w:rsidRPr="0038088A">
        <w:rPr>
          <w:i/>
        </w:rPr>
        <w:t>y</w:t>
      </w:r>
      <w:proofErr w:type="spellEnd"/>
      <w:proofErr w:type="gramEnd"/>
      <w:r w:rsidR="00CF550E">
        <w:t>)</w:t>
      </w:r>
      <w:r w:rsidR="009E3584">
        <w:t xml:space="preserve"> </w:t>
      </w:r>
      <w:r w:rsidR="009E3584">
        <w:lastRenderedPageBreak/>
        <w:t xml:space="preserve">coordinates of the poles to faults, and </w:t>
      </w:r>
      <w:r w:rsidR="00BC1BB1">
        <w:t xml:space="preserve">these were </w:t>
      </w:r>
      <w:r w:rsidR="009E3584">
        <w:t xml:space="preserve">then converted to plunge and plunge direction using the standard equations for the projection used (e.g. Lisle &amp; </w:t>
      </w:r>
      <w:proofErr w:type="spellStart"/>
      <w:r w:rsidR="009E3584">
        <w:t>Leyshon</w:t>
      </w:r>
      <w:proofErr w:type="spellEnd"/>
      <w:r w:rsidR="009E3584">
        <w:t xml:space="preserve">, </w:t>
      </w:r>
      <w:r w:rsidR="007204DD">
        <w:t xml:space="preserve">2004). </w:t>
      </w:r>
      <w:r w:rsidR="001262D6">
        <w:t xml:space="preserve">Slight differences in the number of data plotted for each of these three with respect to the original publication arise due to </w:t>
      </w:r>
      <w:r w:rsidR="00E55C8D">
        <w:t xml:space="preserve">the finite resolution of the digitised image of the stereograms. </w:t>
      </w:r>
      <w:r w:rsidR="00202F43">
        <w:t>The last two datasets for the</w:t>
      </w:r>
      <w:r w:rsidR="004909DF">
        <w:t xml:space="preserve"> Aegean and Tibet (Figure 5e &amp; f</w:t>
      </w:r>
      <w:r w:rsidR="00202F43">
        <w:t>)</w:t>
      </w:r>
      <w:r w:rsidR="000909AB">
        <w:t xml:space="preserve"> </w:t>
      </w:r>
      <w:proofErr w:type="gramStart"/>
      <w:r w:rsidR="000909AB">
        <w:t>are derived</w:t>
      </w:r>
      <w:proofErr w:type="gramEnd"/>
      <w:r w:rsidR="000909AB">
        <w:t xml:space="preserve"> from earthquake focal mechanisms using the CMT catalog</w:t>
      </w:r>
      <w:r w:rsidR="00823B40">
        <w:t>ue</w:t>
      </w:r>
      <w:r w:rsidR="000909AB">
        <w:t xml:space="preserve"> (</w:t>
      </w:r>
      <w:proofErr w:type="spellStart"/>
      <w:r w:rsidR="00F755E2">
        <w:t>Ekstr</w:t>
      </w:r>
      <w:r w:rsidR="003F700A">
        <w:t>ö</w:t>
      </w:r>
      <w:r w:rsidR="00F755E2">
        <w:t>m</w:t>
      </w:r>
      <w:proofErr w:type="spellEnd"/>
      <w:r w:rsidR="00F755E2">
        <w:t xml:space="preserve"> et al., 2012</w:t>
      </w:r>
      <w:r w:rsidR="000909AB">
        <w:t xml:space="preserve">). In each </w:t>
      </w:r>
      <w:proofErr w:type="gramStart"/>
      <w:r w:rsidR="000909AB">
        <w:t>case</w:t>
      </w:r>
      <w:proofErr w:type="gramEnd"/>
      <w:r w:rsidR="000909AB">
        <w:t xml:space="preserve"> the steepest dipping nodal plane was selected in the absence of convincing evidence fo</w:t>
      </w:r>
      <w:r w:rsidR="00D16007">
        <w:t>r low-</w:t>
      </w:r>
      <w:r w:rsidR="000909AB">
        <w:t xml:space="preserve">angle normal faulting in these regions. </w:t>
      </w:r>
    </w:p>
    <w:p w14:paraId="72B07FA4" w14:textId="77777777" w:rsidR="00F97469" w:rsidRDefault="00F97469" w:rsidP="00F97469">
      <w:pPr>
        <w:spacing w:after="200" w:line="276" w:lineRule="auto"/>
        <w:jc w:val="both"/>
      </w:pPr>
      <w:r w:rsidRPr="001819EF">
        <w:rPr>
          <w:b/>
        </w:rPr>
        <w:t>Figure 5.</w:t>
      </w:r>
      <w:r>
        <w:t xml:space="preserve"> Stereographic projections (equal area, lower hemisphere) showing the six natural datasets used in this study. All plots show poles to faults, the majority of which </w:t>
      </w:r>
      <w:proofErr w:type="gramStart"/>
      <w:r>
        <w:t>are inferred</w:t>
      </w:r>
      <w:proofErr w:type="gramEnd"/>
      <w:r>
        <w:t xml:space="preserve"> to be normal. </w:t>
      </w:r>
      <w:r w:rsidRPr="00F539ED">
        <w:rPr>
          <w:b/>
        </w:rPr>
        <w:t>a</w:t>
      </w:r>
      <w:r>
        <w:t xml:space="preserve">) Data from deformation bands measured in faulted Triassic sandstones at Gruinard Bay, Scotland (Healy et al., 2006a; 2006b). </w:t>
      </w:r>
      <w:r w:rsidRPr="00F539ED">
        <w:rPr>
          <w:b/>
        </w:rPr>
        <w:t>b</w:t>
      </w:r>
      <w:r>
        <w:t xml:space="preserve">) Data from faults and measured in sandstones at Chimney Rock in the San Rafael Swell, Utah, USA.  Data digitised from </w:t>
      </w:r>
      <w:proofErr w:type="spellStart"/>
      <w:r>
        <w:t>Krantz</w:t>
      </w:r>
      <w:proofErr w:type="spellEnd"/>
      <w:r>
        <w:t xml:space="preserve"> (1989). </w:t>
      </w:r>
      <w:r w:rsidRPr="00F539ED">
        <w:rPr>
          <w:b/>
        </w:rPr>
        <w:t>c</w:t>
      </w:r>
      <w:r>
        <w:t xml:space="preserve">) Data from faults measured in cliffs of Cretaceous chalk at </w:t>
      </w:r>
      <w:proofErr w:type="spellStart"/>
      <w:r>
        <w:t>Flamborough</w:t>
      </w:r>
      <w:proofErr w:type="spellEnd"/>
      <w:r>
        <w:t xml:space="preserve"> Head, NE England. Data digitised from Peacock &amp; Sanderson (1992). </w:t>
      </w:r>
      <w:r w:rsidRPr="00F539ED">
        <w:rPr>
          <w:b/>
        </w:rPr>
        <w:t>d</w:t>
      </w:r>
      <w:r>
        <w:t xml:space="preserve">) Data from faults measured in the Apennines of Central Italy. Data digitised from Roberts (2007). </w:t>
      </w:r>
      <w:r w:rsidRPr="00F539ED">
        <w:rPr>
          <w:b/>
        </w:rPr>
        <w:t>e</w:t>
      </w:r>
      <w:r>
        <w:t>) Data from focal mechanism nodal planes derived from the CMT catalogue for the Aegean region (</w:t>
      </w:r>
      <w:proofErr w:type="spellStart"/>
      <w:r>
        <w:t>Ekström</w:t>
      </w:r>
      <w:proofErr w:type="spellEnd"/>
      <w:r>
        <w:t xml:space="preserve"> et al., 2012). </w:t>
      </w:r>
      <w:r w:rsidRPr="00150D84">
        <w:rPr>
          <w:b/>
        </w:rPr>
        <w:t>f</w:t>
      </w:r>
      <w:r>
        <w:t>) Data from focal mechanism nodal planes derived from the CMT catalogue for the Tibet region (</w:t>
      </w:r>
      <w:proofErr w:type="spellStart"/>
      <w:r>
        <w:t>Ekström</w:t>
      </w:r>
      <w:proofErr w:type="spellEnd"/>
      <w:r>
        <w:t xml:space="preserve"> et al., 2012).     </w:t>
      </w:r>
    </w:p>
    <w:p w14:paraId="39475516" w14:textId="3D34DBF8" w:rsidR="00843A0D" w:rsidRPr="00843A0D" w:rsidRDefault="009E3584" w:rsidP="0040478C">
      <w:pPr>
        <w:spacing w:after="200" w:line="276" w:lineRule="auto"/>
        <w:jc w:val="both"/>
      </w:pPr>
      <w:r>
        <w:t xml:space="preserve"> </w:t>
      </w:r>
      <w:r w:rsidR="002827F8">
        <w:t xml:space="preserve"> </w:t>
      </w:r>
    </w:p>
    <w:p w14:paraId="3852804D" w14:textId="4E086C2B" w:rsidR="008B45DB" w:rsidRDefault="009F506B" w:rsidP="0040478C">
      <w:pPr>
        <w:spacing w:after="200" w:line="276" w:lineRule="auto"/>
        <w:jc w:val="both"/>
        <w:rPr>
          <w:b/>
        </w:rPr>
      </w:pPr>
      <w:r>
        <w:rPr>
          <w:b/>
        </w:rPr>
        <w:t>4</w:t>
      </w:r>
      <w:r w:rsidR="00350784" w:rsidRPr="007C23F5">
        <w:rPr>
          <w:b/>
        </w:rPr>
        <w:t xml:space="preserve">. </w:t>
      </w:r>
      <w:r w:rsidR="007A0792" w:rsidRPr="007C23F5">
        <w:rPr>
          <w:b/>
        </w:rPr>
        <w:t xml:space="preserve">Testing for </w:t>
      </w:r>
      <w:proofErr w:type="spellStart"/>
      <w:r w:rsidR="007A0792" w:rsidRPr="007C23F5">
        <w:rPr>
          <w:b/>
        </w:rPr>
        <w:t>o</w:t>
      </w:r>
      <w:r w:rsidR="008B45DB" w:rsidRPr="007C23F5">
        <w:rPr>
          <w:b/>
        </w:rPr>
        <w:t>rthorhombicity</w:t>
      </w:r>
      <w:proofErr w:type="spellEnd"/>
      <w:r w:rsidR="008B45DB" w:rsidRPr="007C23F5">
        <w:rPr>
          <w:b/>
        </w:rPr>
        <w:t xml:space="preserve"> </w:t>
      </w:r>
    </w:p>
    <w:p w14:paraId="519426E4" w14:textId="502B636C" w:rsidR="00AA52A9" w:rsidRPr="00313E13" w:rsidRDefault="00196546" w:rsidP="0040478C">
      <w:pPr>
        <w:spacing w:after="200" w:line="276" w:lineRule="auto"/>
        <w:jc w:val="both"/>
        <w:rPr>
          <w:i/>
        </w:rPr>
      </w:pPr>
      <w:r w:rsidRPr="00313E13">
        <w:rPr>
          <w:i/>
        </w:rPr>
        <w:t xml:space="preserve">4.1 Eigenvalue fabric </w:t>
      </w:r>
      <w:r w:rsidR="00C607BA" w:rsidRPr="00313E13">
        <w:rPr>
          <w:i/>
        </w:rPr>
        <w:t xml:space="preserve">(modified </w:t>
      </w:r>
      <w:proofErr w:type="spellStart"/>
      <w:r w:rsidR="00C607BA" w:rsidRPr="00313E13">
        <w:rPr>
          <w:i/>
        </w:rPr>
        <w:t>Flinn</w:t>
      </w:r>
      <w:proofErr w:type="spellEnd"/>
      <w:r w:rsidR="00C607BA" w:rsidRPr="00313E13">
        <w:rPr>
          <w:i/>
        </w:rPr>
        <w:t xml:space="preserve">) </w:t>
      </w:r>
      <w:r w:rsidRPr="00313E13">
        <w:rPr>
          <w:i/>
        </w:rPr>
        <w:t xml:space="preserve">plots </w:t>
      </w:r>
    </w:p>
    <w:p w14:paraId="31AA6DFD" w14:textId="77777777" w:rsidR="00F97469" w:rsidRDefault="00F97469" w:rsidP="00F97469">
      <w:pPr>
        <w:spacing w:after="200" w:line="276" w:lineRule="auto"/>
        <w:jc w:val="both"/>
      </w:pPr>
      <w:r w:rsidRPr="00A950FE">
        <w:rPr>
          <w:b/>
        </w:rPr>
        <w:t>Figure 6.</w:t>
      </w:r>
      <w:r>
        <w:t xml:space="preserve"> Graphs showing the ratios of eigenvalues of the orientation matrices for the synthetic datasets (</w:t>
      </w:r>
      <w:proofErr w:type="spellStart"/>
      <w:r>
        <w:t>Flinn</w:t>
      </w:r>
      <w:proofErr w:type="spellEnd"/>
      <w:r>
        <w:t xml:space="preserve">, 1962; Ramsay, 1967; Woodcock, 1977).  </w:t>
      </w:r>
      <w:r w:rsidRPr="004A53F8">
        <w:rPr>
          <w:b/>
        </w:rPr>
        <w:t>a</w:t>
      </w:r>
      <w:r>
        <w:t xml:space="preserve">) Synthetic conjugate (i.e. bimodal; filled red symbols) and </w:t>
      </w:r>
      <w:proofErr w:type="spellStart"/>
      <w:r>
        <w:t>quadrimodal</w:t>
      </w:r>
      <w:proofErr w:type="spellEnd"/>
      <w:r>
        <w:t xml:space="preserve"> (hollow blue symbols) fault data. Note that the conjugate and </w:t>
      </w:r>
      <w:proofErr w:type="spellStart"/>
      <w:r>
        <w:t>quadrimodal</w:t>
      </w:r>
      <w:proofErr w:type="spellEnd"/>
      <w:r>
        <w:t xml:space="preserve"> data lie either side of the line </w:t>
      </w:r>
      <w:r w:rsidRPr="00120B71">
        <w:rPr>
          <w:i/>
        </w:rPr>
        <w:t>k</w:t>
      </w:r>
      <w:r>
        <w:rPr>
          <w:i/>
        </w:rPr>
        <w:t xml:space="preserve"> </w:t>
      </w:r>
      <w:r>
        <w:t xml:space="preserve">= 1, where </w:t>
      </w:r>
      <w:r w:rsidRPr="00120B71">
        <w:rPr>
          <w:i/>
        </w:rPr>
        <w:t>k</w:t>
      </w:r>
      <w:r>
        <w:rPr>
          <w:i/>
        </w:rPr>
        <w:t xml:space="preserve"> </w:t>
      </w:r>
      <w:r>
        <w:t xml:space="preserve">= </w:t>
      </w:r>
      <w:proofErr w:type="gramStart"/>
      <w:r>
        <w:t>log</w:t>
      </w:r>
      <w:r w:rsidRPr="00120B71">
        <w:rPr>
          <w:vertAlign w:val="subscript"/>
        </w:rPr>
        <w:t>e</w:t>
      </w:r>
      <w:r>
        <w:t>(</w:t>
      </w:r>
      <w:proofErr w:type="gramEnd"/>
      <w:r w:rsidRPr="00120B71">
        <w:rPr>
          <w:i/>
        </w:rPr>
        <w:t>S</w:t>
      </w:r>
      <w:r w:rsidRPr="00120B71">
        <w:rPr>
          <w:i/>
          <w:vertAlign w:val="subscript"/>
        </w:rPr>
        <w:t>1</w:t>
      </w:r>
      <w:r>
        <w:t>/</w:t>
      </w:r>
      <w:r w:rsidRPr="00120B71">
        <w:rPr>
          <w:i/>
        </w:rPr>
        <w:t>S</w:t>
      </w:r>
      <w:r w:rsidRPr="00120B71">
        <w:rPr>
          <w:i/>
          <w:vertAlign w:val="subscript"/>
        </w:rPr>
        <w:t>2</w:t>
      </w:r>
      <w:r>
        <w:t>)/log</w:t>
      </w:r>
      <w:r w:rsidRPr="00120B71">
        <w:rPr>
          <w:vertAlign w:val="subscript"/>
        </w:rPr>
        <w:t>e</w:t>
      </w:r>
      <w:r>
        <w:t>(</w:t>
      </w:r>
      <w:r w:rsidRPr="00120B71">
        <w:rPr>
          <w:i/>
        </w:rPr>
        <w:t>S</w:t>
      </w:r>
      <w:r w:rsidRPr="00120B71">
        <w:rPr>
          <w:i/>
          <w:vertAlign w:val="subscript"/>
        </w:rPr>
        <w:t>2</w:t>
      </w:r>
      <w:r>
        <w:t>/</w:t>
      </w:r>
      <w:r w:rsidRPr="00120B71">
        <w:rPr>
          <w:i/>
        </w:rPr>
        <w:t>S</w:t>
      </w:r>
      <w:r w:rsidRPr="00120B71">
        <w:rPr>
          <w:i/>
          <w:vertAlign w:val="subscript"/>
        </w:rPr>
        <w:t>3</w:t>
      </w:r>
      <w:r>
        <w:t xml:space="preserve">). </w:t>
      </w:r>
      <w:r w:rsidRPr="004A53F8">
        <w:rPr>
          <w:b/>
        </w:rPr>
        <w:t>b</w:t>
      </w:r>
      <w:r>
        <w:t xml:space="preserve">) Eigenvalue ratios from a Monte Carlo simulation of conjugate fault orientations using the two Watson mixture model. 1000 simulations were run for each of four different </w:t>
      </w:r>
      <w:r w:rsidRPr="001A11C2">
        <w:rPr>
          <w:rFonts w:ascii="Symbol" w:hAnsi="Symbol"/>
          <w:i/>
        </w:rPr>
        <w:t></w:t>
      </w:r>
      <w:r>
        <w:t xml:space="preserve"> values (10, 20, 50 and 100; </w:t>
      </w:r>
      <w:proofErr w:type="gramStart"/>
      <w:r>
        <w:t>a total of 4000</w:t>
      </w:r>
      <w:proofErr w:type="gramEnd"/>
      <w:r>
        <w:t xml:space="preserve"> data points), corresponding to the range of the discrete datasets shown in a). </w:t>
      </w:r>
      <w:r w:rsidRPr="004A53F8">
        <w:rPr>
          <w:b/>
        </w:rPr>
        <w:t>c</w:t>
      </w:r>
      <w:r>
        <w:t xml:space="preserve">) Eigenvalue ratios from a Monte Carlo simulation of </w:t>
      </w:r>
      <w:proofErr w:type="spellStart"/>
      <w:r>
        <w:t>quadrimodal</w:t>
      </w:r>
      <w:proofErr w:type="spellEnd"/>
      <w:r>
        <w:t xml:space="preserve"> fault orientations using the four Watson mixture model. 1000 simulations were run for each of four different </w:t>
      </w:r>
      <w:r w:rsidRPr="000C24CA">
        <w:rPr>
          <w:rFonts w:ascii="Symbol" w:hAnsi="Symbol"/>
        </w:rPr>
        <w:t></w:t>
      </w:r>
      <w:r>
        <w:t xml:space="preserve"> values (10, 20, 50 and 100; </w:t>
      </w:r>
      <w:proofErr w:type="gramStart"/>
      <w:r>
        <w:t>a total of 4000</w:t>
      </w:r>
      <w:proofErr w:type="gramEnd"/>
      <w:r>
        <w:t xml:space="preserve"> data points), corresponding to the range of the discrete datasets shown in a).     </w:t>
      </w:r>
    </w:p>
    <w:p w14:paraId="0D4F27CD" w14:textId="78DF910C" w:rsidR="009F6DE1" w:rsidRDefault="0028265B" w:rsidP="0040478C">
      <w:pPr>
        <w:spacing w:after="200" w:line="276" w:lineRule="auto"/>
        <w:jc w:val="both"/>
      </w:pPr>
      <w:r>
        <w:t xml:space="preserve">We calculated the </w:t>
      </w:r>
      <w:proofErr w:type="gramStart"/>
      <w:r>
        <w:t>2</w:t>
      </w:r>
      <w:r w:rsidRPr="0028265B">
        <w:rPr>
          <w:vertAlign w:val="superscript"/>
        </w:rPr>
        <w:t>nd</w:t>
      </w:r>
      <w:proofErr w:type="gramEnd"/>
      <w:r>
        <w:t xml:space="preserve"> rank orientation tensor (Woodcock, 1977) for each of the synthetic datasets shown in Figures 3 and 4 (bimodal and </w:t>
      </w:r>
      <w:proofErr w:type="spellStart"/>
      <w:r>
        <w:t>quadrimodal</w:t>
      </w:r>
      <w:proofErr w:type="spellEnd"/>
      <w:r>
        <w:t>, respectively). The eigenvalues of this tensor (</w:t>
      </w:r>
      <w:r w:rsidRPr="00712587">
        <w:rPr>
          <w:i/>
        </w:rPr>
        <w:t>S</w:t>
      </w:r>
      <w:r w:rsidRPr="00712587">
        <w:rPr>
          <w:i/>
          <w:vertAlign w:val="subscript"/>
        </w:rPr>
        <w:t>1</w:t>
      </w:r>
      <w:r>
        <w:t xml:space="preserve">, </w:t>
      </w:r>
      <w:r w:rsidRPr="00712587">
        <w:rPr>
          <w:i/>
        </w:rPr>
        <w:t>S</w:t>
      </w:r>
      <w:r w:rsidRPr="00712587">
        <w:rPr>
          <w:i/>
          <w:vertAlign w:val="subscript"/>
        </w:rPr>
        <w:t>2</w:t>
      </w:r>
      <w:r>
        <w:t xml:space="preserve"> and </w:t>
      </w:r>
      <w:r w:rsidRPr="00712587">
        <w:rPr>
          <w:i/>
        </w:rPr>
        <w:t>S</w:t>
      </w:r>
      <w:r w:rsidRPr="00712587">
        <w:rPr>
          <w:i/>
          <w:vertAlign w:val="subscript"/>
        </w:rPr>
        <w:t>3</w:t>
      </w:r>
      <w:r w:rsidR="00712587">
        <w:t>,</w:t>
      </w:r>
      <w:r>
        <w:t xml:space="preserve"> where </w:t>
      </w:r>
      <w:r w:rsidRPr="00712587">
        <w:rPr>
          <w:i/>
        </w:rPr>
        <w:t>S</w:t>
      </w:r>
      <w:r w:rsidRPr="00712587">
        <w:rPr>
          <w:i/>
          <w:vertAlign w:val="subscript"/>
        </w:rPr>
        <w:t>1</w:t>
      </w:r>
      <w:r>
        <w:t xml:space="preserve"> is the largest and </w:t>
      </w:r>
      <w:r w:rsidRPr="00712587">
        <w:rPr>
          <w:i/>
        </w:rPr>
        <w:t>S</w:t>
      </w:r>
      <w:r w:rsidRPr="00712587">
        <w:rPr>
          <w:i/>
          <w:vertAlign w:val="subscript"/>
        </w:rPr>
        <w:t>3</w:t>
      </w:r>
      <w:r>
        <w:t xml:space="preserve"> is the smallest) are used to plot the data on a modified </w:t>
      </w:r>
      <w:proofErr w:type="spellStart"/>
      <w:r>
        <w:t>Flinn</w:t>
      </w:r>
      <w:proofErr w:type="spellEnd"/>
      <w:r>
        <w:t xml:space="preserve"> diagram (Figure 6), with </w:t>
      </w:r>
      <w:proofErr w:type="gramStart"/>
      <w:r>
        <w:t>log</w:t>
      </w:r>
      <w:r w:rsidRPr="007B60EE">
        <w:rPr>
          <w:vertAlign w:val="subscript"/>
        </w:rPr>
        <w:t>e</w:t>
      </w:r>
      <w:r>
        <w:t>(</w:t>
      </w:r>
      <w:proofErr w:type="gramEnd"/>
      <w:r w:rsidRPr="007B60EE">
        <w:rPr>
          <w:i/>
        </w:rPr>
        <w:t>S</w:t>
      </w:r>
      <w:r w:rsidRPr="007B60EE">
        <w:rPr>
          <w:i/>
          <w:vertAlign w:val="subscript"/>
        </w:rPr>
        <w:t>2</w:t>
      </w:r>
      <w:r>
        <w:t>/</w:t>
      </w:r>
      <w:r w:rsidRPr="007B60EE">
        <w:rPr>
          <w:i/>
        </w:rPr>
        <w:t>S</w:t>
      </w:r>
      <w:r w:rsidRPr="007B60EE">
        <w:rPr>
          <w:i/>
          <w:vertAlign w:val="subscript"/>
        </w:rPr>
        <w:t>3</w:t>
      </w:r>
      <w:r>
        <w:t xml:space="preserve">) on the </w:t>
      </w:r>
      <w:r w:rsidRPr="007B60EE">
        <w:rPr>
          <w:i/>
        </w:rPr>
        <w:t>x</w:t>
      </w:r>
      <w:r>
        <w:t>-axis and log</w:t>
      </w:r>
      <w:r w:rsidRPr="007B60EE">
        <w:rPr>
          <w:vertAlign w:val="subscript"/>
        </w:rPr>
        <w:t>e</w:t>
      </w:r>
      <w:r>
        <w:t>(</w:t>
      </w:r>
      <w:r w:rsidRPr="007B60EE">
        <w:rPr>
          <w:i/>
        </w:rPr>
        <w:t>S</w:t>
      </w:r>
      <w:r w:rsidRPr="007B60EE">
        <w:rPr>
          <w:i/>
          <w:vertAlign w:val="subscript"/>
        </w:rPr>
        <w:t>1</w:t>
      </w:r>
      <w:r>
        <w:t>/</w:t>
      </w:r>
      <w:r w:rsidRPr="007B60EE">
        <w:rPr>
          <w:i/>
        </w:rPr>
        <w:t>S</w:t>
      </w:r>
      <w:r w:rsidRPr="007B60EE">
        <w:rPr>
          <w:i/>
          <w:vertAlign w:val="subscript"/>
        </w:rPr>
        <w:t>2</w:t>
      </w:r>
      <w:r>
        <w:t xml:space="preserve">) on the </w:t>
      </w:r>
      <w:r w:rsidRPr="007B60EE">
        <w:rPr>
          <w:i/>
        </w:rPr>
        <w:t>y</w:t>
      </w:r>
      <w:r>
        <w:t>-axis.</w:t>
      </w:r>
      <w:r w:rsidR="005863EE">
        <w:t xml:space="preserve"> </w:t>
      </w:r>
      <w:r w:rsidR="00712587">
        <w:t>The points corresponding to the b</w:t>
      </w:r>
      <w:r w:rsidR="005863EE">
        <w:t xml:space="preserve">imodal (shown in red) and </w:t>
      </w:r>
      <w:proofErr w:type="spellStart"/>
      <w:r w:rsidR="005863EE">
        <w:t>quadrimodal</w:t>
      </w:r>
      <w:proofErr w:type="spellEnd"/>
      <w:r w:rsidR="005863EE">
        <w:t xml:space="preserve"> (shown in blue) datasets </w:t>
      </w:r>
      <w:r w:rsidR="00712587">
        <w:t>lie</w:t>
      </w:r>
      <w:r w:rsidR="005863EE">
        <w:t xml:space="preserve"> in distinct areas. Bimodal (conjugate) fault patterns </w:t>
      </w:r>
      <w:r w:rsidR="00712587">
        <w:t>lie</w:t>
      </w:r>
      <w:r w:rsidR="005863EE">
        <w:t xml:space="preserve"> below the 1:1 line, </w:t>
      </w:r>
      <w:r w:rsidR="003A187B">
        <w:t>on which</w:t>
      </w:r>
      <w:r w:rsidR="005863EE">
        <w:t xml:space="preserve"> </w:t>
      </w:r>
      <w:r w:rsidR="005863EE" w:rsidRPr="003A187B">
        <w:rPr>
          <w:i/>
        </w:rPr>
        <w:t>S</w:t>
      </w:r>
      <w:r w:rsidR="005863EE" w:rsidRPr="003A187B">
        <w:rPr>
          <w:i/>
          <w:vertAlign w:val="subscript"/>
        </w:rPr>
        <w:t>1</w:t>
      </w:r>
      <w:r w:rsidR="005863EE">
        <w:t>/</w:t>
      </w:r>
      <w:r w:rsidR="005863EE" w:rsidRPr="003A187B">
        <w:rPr>
          <w:i/>
        </w:rPr>
        <w:t>S</w:t>
      </w:r>
      <w:r w:rsidR="005863EE" w:rsidRPr="003A187B">
        <w:rPr>
          <w:i/>
          <w:vertAlign w:val="subscript"/>
        </w:rPr>
        <w:t>2</w:t>
      </w:r>
      <w:r w:rsidR="005863EE">
        <w:t xml:space="preserve"> = </w:t>
      </w:r>
      <w:r w:rsidR="005863EE" w:rsidRPr="003A187B">
        <w:rPr>
          <w:i/>
        </w:rPr>
        <w:t>S</w:t>
      </w:r>
      <w:r w:rsidR="005863EE" w:rsidRPr="003A187B">
        <w:rPr>
          <w:i/>
          <w:vertAlign w:val="subscript"/>
        </w:rPr>
        <w:t>2</w:t>
      </w:r>
      <w:r w:rsidR="005863EE">
        <w:t>/</w:t>
      </w:r>
      <w:r w:rsidR="005863EE" w:rsidRPr="003A187B">
        <w:rPr>
          <w:i/>
        </w:rPr>
        <w:t>S</w:t>
      </w:r>
      <w:r w:rsidR="005863EE" w:rsidRPr="003A187B">
        <w:rPr>
          <w:i/>
          <w:vertAlign w:val="subscript"/>
        </w:rPr>
        <w:t>3</w:t>
      </w:r>
      <w:r w:rsidR="005863EE">
        <w:t xml:space="preserve">. This is due to the </w:t>
      </w:r>
      <w:r w:rsidR="005863EE" w:rsidRPr="003A187B">
        <w:rPr>
          <w:i/>
        </w:rPr>
        <w:t>S</w:t>
      </w:r>
      <w:r w:rsidR="005863EE" w:rsidRPr="003A187B">
        <w:rPr>
          <w:i/>
          <w:vertAlign w:val="subscript"/>
        </w:rPr>
        <w:t>3</w:t>
      </w:r>
      <w:r w:rsidR="005863EE">
        <w:t xml:space="preserve"> eigenvalue being very low (near 0) for these distributions, which for high values of </w:t>
      </w:r>
      <w:r w:rsidR="005863EE" w:rsidRPr="00E73715">
        <w:rPr>
          <w:rFonts w:ascii="Symbol" w:hAnsi="Symbol"/>
          <w:i/>
        </w:rPr>
        <w:t></w:t>
      </w:r>
      <w:r w:rsidR="005863EE">
        <w:t xml:space="preserve"> begin to resemble girdle fabric patterns confined to the plane of the </w:t>
      </w:r>
      <w:r w:rsidR="005863EE">
        <w:lastRenderedPageBreak/>
        <w:t xml:space="preserve">eigenvectors corresponding to eigenvalues </w:t>
      </w:r>
      <w:r w:rsidR="005863EE" w:rsidRPr="00674C21">
        <w:rPr>
          <w:i/>
        </w:rPr>
        <w:t>S</w:t>
      </w:r>
      <w:r w:rsidR="005863EE" w:rsidRPr="00674C21">
        <w:rPr>
          <w:i/>
          <w:vertAlign w:val="subscript"/>
        </w:rPr>
        <w:t>1</w:t>
      </w:r>
      <w:r w:rsidR="005863EE">
        <w:t xml:space="preserve"> and </w:t>
      </w:r>
      <w:r w:rsidR="005863EE" w:rsidRPr="00674C21">
        <w:rPr>
          <w:i/>
        </w:rPr>
        <w:t>S</w:t>
      </w:r>
      <w:r w:rsidR="005863EE" w:rsidRPr="00674C21">
        <w:rPr>
          <w:i/>
          <w:vertAlign w:val="subscript"/>
        </w:rPr>
        <w:t>2</w:t>
      </w:r>
      <w:r w:rsidR="005863EE">
        <w:t xml:space="preserve"> (Woodcock, 1977). In contrast, the </w:t>
      </w:r>
      <w:proofErr w:type="spellStart"/>
      <w:r w:rsidR="005863EE">
        <w:t>quadrimodal</w:t>
      </w:r>
      <w:proofErr w:type="spellEnd"/>
      <w:r w:rsidR="005863EE">
        <w:t xml:space="preserve"> patterns </w:t>
      </w:r>
      <w:r w:rsidR="00674C21">
        <w:t>lie</w:t>
      </w:r>
      <w:r w:rsidR="00F858C4">
        <w:t xml:space="preserve"> above the 1:1 line, </w:t>
      </w:r>
      <w:r w:rsidR="003C2F4A">
        <w:t xml:space="preserve">as </w:t>
      </w:r>
      <w:r w:rsidR="003C2F4A" w:rsidRPr="00674C21">
        <w:rPr>
          <w:i/>
        </w:rPr>
        <w:t>S</w:t>
      </w:r>
      <w:r w:rsidR="003C2F4A" w:rsidRPr="00674C21">
        <w:rPr>
          <w:i/>
          <w:vertAlign w:val="subscript"/>
        </w:rPr>
        <w:t>3</w:t>
      </w:r>
      <w:r w:rsidR="003C2F4A">
        <w:t xml:space="preserve"> </w:t>
      </w:r>
      <w:r w:rsidR="007239F4">
        <w:t xml:space="preserve">for these distributions </w:t>
      </w:r>
      <w:r w:rsidR="003C2F4A">
        <w:t xml:space="preserve">is large relative to the </w:t>
      </w:r>
      <w:r w:rsidR="00E73715">
        <w:t>equivalent bimodal pattern (</w:t>
      </w:r>
      <w:r w:rsidR="001841E1">
        <w:t xml:space="preserve">i.e. </w:t>
      </w:r>
      <w:r w:rsidR="00E73715">
        <w:t xml:space="preserve">for the same values of </w:t>
      </w:r>
      <w:r w:rsidR="00E73715" w:rsidRPr="00E73715">
        <w:rPr>
          <w:rFonts w:ascii="Symbol" w:hAnsi="Symbol"/>
          <w:i/>
        </w:rPr>
        <w:t></w:t>
      </w:r>
      <w:r w:rsidR="00E73715">
        <w:t xml:space="preserve"> and </w:t>
      </w:r>
      <w:r w:rsidR="00E73715" w:rsidRPr="00E73715">
        <w:rPr>
          <w:i/>
        </w:rPr>
        <w:t>n</w:t>
      </w:r>
      <w:r w:rsidR="00E73715">
        <w:t xml:space="preserve">). </w:t>
      </w:r>
      <w:r w:rsidR="00BC2428">
        <w:t xml:space="preserve">The modified </w:t>
      </w:r>
      <w:proofErr w:type="spellStart"/>
      <w:r w:rsidR="00BC2428">
        <w:t>Flinn</w:t>
      </w:r>
      <w:proofErr w:type="spellEnd"/>
      <w:r w:rsidR="00BC2428">
        <w:t xml:space="preserve"> plot therefore provides a potentially rapid and simple way to discriminate between bimodal (conjugate) and </w:t>
      </w:r>
      <w:proofErr w:type="spellStart"/>
      <w:r w:rsidR="00BC2428">
        <w:t>quadrimodal</w:t>
      </w:r>
      <w:proofErr w:type="spellEnd"/>
      <w:r w:rsidR="00BC2428">
        <w:t xml:space="preserve"> fault patterns.  Note</w:t>
      </w:r>
      <w:r w:rsidR="00674C21">
        <w:t>,</w:t>
      </w:r>
      <w:r w:rsidR="00BC2428">
        <w:t xml:space="preserve"> however</w:t>
      </w:r>
      <w:r w:rsidR="00674C21">
        <w:t>,</w:t>
      </w:r>
      <w:r w:rsidR="00BC2428">
        <w:t xml:space="preserve"> that the spread of the bimodal patterns in Figure 6a along the x-axis is a function of the </w:t>
      </w:r>
      <w:r w:rsidR="00BC2428" w:rsidRPr="00012573">
        <w:rPr>
          <w:rFonts w:ascii="Symbol" w:hAnsi="Symbol"/>
          <w:i/>
        </w:rPr>
        <w:t></w:t>
      </w:r>
      <w:r w:rsidR="00BC2428">
        <w:t xml:space="preserve"> value of the underlying Watson distribution, with low values of </w:t>
      </w:r>
      <w:r w:rsidR="00BC2428" w:rsidRPr="00012573">
        <w:rPr>
          <w:rFonts w:ascii="Symbol" w:hAnsi="Symbol"/>
          <w:i/>
        </w:rPr>
        <w:t></w:t>
      </w:r>
      <w:r w:rsidR="00BC2428">
        <w:t xml:space="preserve"> – low concentration, highly disperse</w:t>
      </w:r>
      <w:r w:rsidR="003E20AF">
        <w:t>d</w:t>
      </w:r>
      <w:r w:rsidR="00BC2428">
        <w:t xml:space="preserve"> – </w:t>
      </w:r>
      <w:r w:rsidR="003E20AF">
        <w:t>lying</w:t>
      </w:r>
      <w:r w:rsidR="00BC2428">
        <w:t xml:space="preserve"> close</w:t>
      </w:r>
      <w:r w:rsidR="00012573">
        <w:t>r</w:t>
      </w:r>
      <w:r w:rsidR="00BC2428">
        <w:t xml:space="preserve"> to the origin. Disperse</w:t>
      </w:r>
      <w:r w:rsidR="003E20AF">
        <w:t>d</w:t>
      </w:r>
      <w:r w:rsidR="00BC2428">
        <w:t xml:space="preserve"> or noisy bimodal (conjugate) patterns may therefore </w:t>
      </w:r>
      <w:r w:rsidR="00643C81">
        <w:t>lie</w:t>
      </w:r>
      <w:r w:rsidR="00BC2428">
        <w:t xml:space="preserve"> close</w:t>
      </w:r>
      <w:r w:rsidR="00012573">
        <w:t>r</w:t>
      </w:r>
      <w:r w:rsidR="00BC2428">
        <w:t xml:space="preserve"> to </w:t>
      </w:r>
      <w:proofErr w:type="spellStart"/>
      <w:r w:rsidR="00BC2428">
        <w:t>quadrimodal</w:t>
      </w:r>
      <w:proofErr w:type="spellEnd"/>
      <w:r w:rsidR="00BC2428">
        <w:t xml:space="preserve"> patterns (see </w:t>
      </w:r>
      <w:r w:rsidR="005358D5">
        <w:t xml:space="preserve">Discussion </w:t>
      </w:r>
      <w:r w:rsidR="00BC2428">
        <w:t xml:space="preserve">below). </w:t>
      </w:r>
    </w:p>
    <w:p w14:paraId="05A6AFA4" w14:textId="33CC5F0A" w:rsidR="00196546" w:rsidRPr="00313E13" w:rsidRDefault="00196546" w:rsidP="0040478C">
      <w:pPr>
        <w:spacing w:after="200" w:line="276" w:lineRule="auto"/>
        <w:jc w:val="both"/>
        <w:rPr>
          <w:i/>
        </w:rPr>
      </w:pPr>
      <w:r w:rsidRPr="00313E13">
        <w:rPr>
          <w:i/>
        </w:rPr>
        <w:t xml:space="preserve">4.2 Randomisation tests </w:t>
      </w:r>
      <w:r w:rsidR="00381735">
        <w:rPr>
          <w:i/>
        </w:rPr>
        <w:t>using</w:t>
      </w:r>
      <w:r w:rsidR="00381735" w:rsidRPr="00313E13">
        <w:rPr>
          <w:i/>
        </w:rPr>
        <w:t xml:space="preserve"> </w:t>
      </w:r>
      <w:proofErr w:type="gramStart"/>
      <w:r w:rsidRPr="00313E13">
        <w:rPr>
          <w:i/>
        </w:rPr>
        <w:t>2</w:t>
      </w:r>
      <w:r w:rsidRPr="00313E13">
        <w:rPr>
          <w:i/>
          <w:vertAlign w:val="superscript"/>
        </w:rPr>
        <w:t>nd</w:t>
      </w:r>
      <w:proofErr w:type="gramEnd"/>
      <w:r w:rsidRPr="00313E13">
        <w:rPr>
          <w:i/>
        </w:rPr>
        <w:t xml:space="preserve"> and 4</w:t>
      </w:r>
      <w:r w:rsidRPr="00313E13">
        <w:rPr>
          <w:i/>
          <w:vertAlign w:val="superscript"/>
        </w:rPr>
        <w:t>th</w:t>
      </w:r>
      <w:r w:rsidRPr="00313E13">
        <w:rPr>
          <w:i/>
        </w:rPr>
        <w:t xml:space="preserve"> rank orientation tensors </w:t>
      </w:r>
    </w:p>
    <w:p w14:paraId="330546C4" w14:textId="1074D437" w:rsidR="00313E13" w:rsidRPr="00AC3CE4" w:rsidRDefault="00313E13" w:rsidP="0040478C">
      <w:pPr>
        <w:spacing w:after="200" w:line="276" w:lineRule="auto"/>
        <w:jc w:val="both"/>
        <w:outlineLvl w:val="0"/>
        <w:rPr>
          <w:i/>
          <w:lang w:val="en-US"/>
        </w:rPr>
      </w:pPr>
      <w:r w:rsidRPr="00AC3CE4">
        <w:rPr>
          <w:i/>
          <w:lang w:val="en-US"/>
        </w:rPr>
        <w:t xml:space="preserve">4.2.1 Underlying </w:t>
      </w:r>
      <w:r w:rsidR="00A93678">
        <w:rPr>
          <w:i/>
          <w:lang w:val="en-US"/>
        </w:rPr>
        <w:t>distributions</w:t>
      </w:r>
    </w:p>
    <w:p w14:paraId="3603D7DE" w14:textId="0583AE8D" w:rsidR="00CB65E5" w:rsidRDefault="00CB65E5" w:rsidP="0040478C">
      <w:pPr>
        <w:spacing w:after="200" w:line="276" w:lineRule="auto"/>
        <w:jc w:val="both"/>
        <w:rPr>
          <w:lang w:val="en-US"/>
        </w:rPr>
      </w:pPr>
      <w:r>
        <w:rPr>
          <w:rFonts w:eastAsia="Times New Roman"/>
        </w:rPr>
        <w:t xml:space="preserve">To get a suitable general setting for our tests, we formalise the construction of the bimodal and </w:t>
      </w:r>
      <w:proofErr w:type="spellStart"/>
      <w:r>
        <w:rPr>
          <w:rFonts w:eastAsia="Times New Roman"/>
        </w:rPr>
        <w:t>quadrimodal</w:t>
      </w:r>
      <w:proofErr w:type="spellEnd"/>
      <w:r>
        <w:rPr>
          <w:rFonts w:eastAsia="Times New Roman"/>
        </w:rPr>
        <w:t xml:space="preserve"> datasets considered in Section 3.1. Whereas the datasets considered in Section 3.1 necessarily have equal numbers of points around each mode, for datasets arising from the distributions here, this is true only </w:t>
      </w:r>
      <w:r>
        <w:rPr>
          <w:rFonts w:eastAsia="Times New Roman"/>
          <w:i/>
          <w:iCs/>
        </w:rPr>
        <w:t>on average</w:t>
      </w:r>
      <w:r>
        <w:rPr>
          <w:rFonts w:eastAsia="Times New Roman"/>
        </w:rPr>
        <w:t xml:space="preserve">. The very restrictive condition of having a Watson distribution around each mode is relaxed here to that of having a </w:t>
      </w:r>
      <w:proofErr w:type="gramStart"/>
      <w:r>
        <w:rPr>
          <w:rFonts w:eastAsia="Times New Roman"/>
        </w:rPr>
        <w:t>circularly-symmetric</w:t>
      </w:r>
      <w:proofErr w:type="gramEnd"/>
      <w:r>
        <w:rPr>
          <w:rFonts w:eastAsia="Times New Roman"/>
        </w:rPr>
        <w:t xml:space="preserve"> distribution around each mode.</w:t>
      </w:r>
      <w:r w:rsidRPr="00646B36">
        <w:rPr>
          <w:lang w:val="en-US"/>
        </w:rPr>
        <w:t xml:space="preserve"> </w:t>
      </w:r>
    </w:p>
    <w:p w14:paraId="6C78A7F0" w14:textId="09F5CE9B" w:rsidR="00313E13" w:rsidRPr="00646B36" w:rsidRDefault="00313E13" w:rsidP="0040478C">
      <w:pPr>
        <w:spacing w:after="200" w:line="276" w:lineRule="auto"/>
        <w:jc w:val="both"/>
        <w:rPr>
          <w:lang w:val="en-US"/>
        </w:rPr>
      </w:pPr>
      <w:r w:rsidRPr="00646B36">
        <w:rPr>
          <w:lang w:val="en-US"/>
        </w:rPr>
        <w:t xml:space="preserve">Suppose that axes </w:t>
      </w:r>
      <w:r>
        <w:rPr>
          <w:lang w:val="en-US"/>
        </w:rPr>
        <w:sym w:font="Symbol" w:char="F0B1"/>
      </w:r>
      <w:proofErr w:type="gramStart"/>
      <w:r w:rsidRPr="00A83BBF">
        <w:rPr>
          <w:b/>
          <w:lang w:val="en-US"/>
        </w:rPr>
        <w:t>x</w:t>
      </w:r>
      <w:r w:rsidRPr="00A83BBF">
        <w:rPr>
          <w:b/>
          <w:vertAlign w:val="subscript"/>
          <w:lang w:val="en-US"/>
        </w:rPr>
        <w:t>1</w:t>
      </w:r>
      <w:r>
        <w:rPr>
          <w:lang w:val="en-US"/>
        </w:rPr>
        <w:t>, …</w:t>
      </w:r>
      <w:proofErr w:type="gramEnd"/>
      <w:r>
        <w:rPr>
          <w:lang w:val="en-US"/>
        </w:rPr>
        <w:t xml:space="preserve"> </w:t>
      </w:r>
      <w:r>
        <w:rPr>
          <w:lang w:val="en-US"/>
        </w:rPr>
        <w:sym w:font="Symbol" w:char="F0B1"/>
      </w:r>
      <w:proofErr w:type="spellStart"/>
      <w:r w:rsidRPr="00A83BBF">
        <w:rPr>
          <w:b/>
          <w:lang w:val="en-US"/>
        </w:rPr>
        <w:t>x</w:t>
      </w:r>
      <w:r w:rsidRPr="00A83BBF">
        <w:rPr>
          <w:b/>
          <w:vertAlign w:val="subscript"/>
          <w:lang w:val="en-US"/>
        </w:rPr>
        <w:t>n</w:t>
      </w:r>
      <w:proofErr w:type="spellEnd"/>
      <w:r>
        <w:rPr>
          <w:lang w:val="en-US"/>
        </w:rPr>
        <w:t xml:space="preserve"> </w:t>
      </w:r>
      <w:r w:rsidRPr="00646B36">
        <w:rPr>
          <w:lang w:val="en-US"/>
        </w:rPr>
        <w:t>are indepen</w:t>
      </w:r>
      <w:r>
        <w:rPr>
          <w:lang w:val="en-US"/>
        </w:rPr>
        <w:t>dent observations from some dis</w:t>
      </w:r>
      <w:r w:rsidRPr="00646B36">
        <w:rPr>
          <w:lang w:val="en-US"/>
        </w:rPr>
        <w:t xml:space="preserve">tribution of axes. If the parent distribution </w:t>
      </w:r>
      <w:proofErr w:type="gramStart"/>
      <w:r w:rsidRPr="00646B36">
        <w:rPr>
          <w:lang w:val="en-US"/>
        </w:rPr>
        <w:t>is thought</w:t>
      </w:r>
      <w:proofErr w:type="gramEnd"/>
      <w:r w:rsidRPr="00646B36">
        <w:rPr>
          <w:lang w:val="en-US"/>
        </w:rPr>
        <w:t xml:space="preserve"> to be multi-modal then</w:t>
      </w:r>
      <w:r>
        <w:rPr>
          <w:lang w:val="en-US"/>
        </w:rPr>
        <w:t xml:space="preserve"> </w:t>
      </w:r>
      <w:r w:rsidRPr="00646B36">
        <w:rPr>
          <w:lang w:val="en-US"/>
        </w:rPr>
        <w:t>two appealing models are</w:t>
      </w:r>
      <w:r>
        <w:rPr>
          <w:lang w:val="en-US"/>
        </w:rPr>
        <w:t xml:space="preserve">: </w:t>
      </w:r>
    </w:p>
    <w:p w14:paraId="6BCFA11D" w14:textId="68C3E642" w:rsidR="00313E13" w:rsidRPr="00E762E0" w:rsidRDefault="00CB65E5" w:rsidP="0040478C">
      <w:pPr>
        <w:pStyle w:val="ListParagraph"/>
        <w:numPr>
          <w:ilvl w:val="0"/>
          <w:numId w:val="11"/>
        </w:numPr>
        <w:spacing w:after="200" w:line="276" w:lineRule="auto"/>
        <w:jc w:val="both"/>
        <w:rPr>
          <w:lang w:val="en-US"/>
        </w:rPr>
      </w:pPr>
      <w:r>
        <w:rPr>
          <w:rFonts w:eastAsia="Times New Roman"/>
        </w:rPr>
        <w:t xml:space="preserve">The </w:t>
      </w:r>
      <w:r>
        <w:rPr>
          <w:rFonts w:eastAsia="Times New Roman"/>
          <w:b/>
          <w:bCs/>
        </w:rPr>
        <w:t>bimodal equal mixture model</w:t>
      </w:r>
      <w:r>
        <w:rPr>
          <w:rFonts w:eastAsia="Times New Roman"/>
        </w:rPr>
        <w:t xml:space="preserve"> </w:t>
      </w:r>
      <w:proofErr w:type="gramStart"/>
      <w:r>
        <w:rPr>
          <w:rFonts w:eastAsia="Times New Roman"/>
        </w:rPr>
        <w:t>can be thought</w:t>
      </w:r>
      <w:r w:rsidR="00B86935">
        <w:rPr>
          <w:rFonts w:eastAsia="Times New Roman"/>
        </w:rPr>
        <w:t xml:space="preserve"> of</w:t>
      </w:r>
      <w:proofErr w:type="gramEnd"/>
      <w:r w:rsidR="00B86935">
        <w:rPr>
          <w:rFonts w:eastAsia="Times New Roman"/>
        </w:rPr>
        <w:t xml:space="preserve"> intuitively as obtained by ‘</w:t>
      </w:r>
      <w:r>
        <w:rPr>
          <w:rFonts w:eastAsia="Times New Roman"/>
        </w:rPr>
        <w:t>pulling apart</w:t>
      </w:r>
      <w:r w:rsidR="00B86935">
        <w:rPr>
          <w:rFonts w:eastAsia="Times New Roman"/>
        </w:rPr>
        <w:t>’</w:t>
      </w:r>
      <w:r>
        <w:rPr>
          <w:rFonts w:eastAsia="Times New Roman"/>
        </w:rPr>
        <w:t xml:space="preserve"> a unimodal distribution into two equally strong modes angle </w:t>
      </w:r>
      <w:r w:rsidRPr="00615260">
        <w:rPr>
          <w:rFonts w:ascii="Symbol" w:eastAsia="Times New Roman" w:hAnsi="Symbol"/>
          <w:i/>
        </w:rPr>
        <w:t></w:t>
      </w:r>
      <w:r>
        <w:rPr>
          <w:rFonts w:eastAsia="Times New Roman"/>
        </w:rPr>
        <w:t xml:space="preserve"> apart. More precisely, the probability density is:</w:t>
      </w:r>
    </w:p>
    <w:p w14:paraId="1764CA5A" w14:textId="704AD53D" w:rsidR="00313E13" w:rsidRPr="00646B36" w:rsidRDefault="009920E2" w:rsidP="00AC5F66">
      <w:pPr>
        <w:spacing w:after="200" w:line="276" w:lineRule="auto"/>
        <w:ind w:firstLine="360"/>
        <w:jc w:val="both"/>
        <w:rPr>
          <w:lang w:val="en-US"/>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m:t>
            </m:r>
            <m:r>
              <m:rPr>
                <m:sty m:val="b"/>
              </m:rPr>
              <w:rPr>
                <w:rFonts w:ascii="Cambria Math" w:hAnsi="Cambria Math"/>
                <w:lang w:val="en-US"/>
              </w:rPr>
              <m:t>x</m:t>
            </m:r>
            <m:r>
              <w:rPr>
                <w:rFonts w:ascii="Cambria Math" w:hAnsi="Cambria Math"/>
                <w:lang w:val="en-US"/>
              </w:rPr>
              <m:t xml:space="preserve">; </m:t>
            </m:r>
            <m:d>
              <m:dPr>
                <m:begChr m:val="{"/>
                <m:endChr m:val="}"/>
                <m:ctrlPr>
                  <w:rPr>
                    <w:rFonts w:ascii="Cambria Math" w:hAnsi="Cambria Math"/>
                    <w:i/>
                    <w:lang w:val="en-US"/>
                  </w:rPr>
                </m:ctrlPr>
              </m:dPr>
              <m:e>
                <m: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μ</m:t>
                    </m:r>
                  </m:e>
                  <m:sub>
                    <m:r>
                      <m:rPr>
                        <m:sty m:val="bi"/>
                      </m:rPr>
                      <w:rPr>
                        <w:rFonts w:ascii="Cambria Math" w:hAnsi="Cambria Math"/>
                        <w:lang w:val="en-US"/>
                      </w:rPr>
                      <m:t>1</m:t>
                    </m:r>
                  </m:sub>
                </m:sSub>
                <m: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μ</m:t>
                    </m:r>
                  </m:e>
                  <m:sub>
                    <m:r>
                      <m:rPr>
                        <m:sty m:val="bi"/>
                      </m:rPr>
                      <w:rPr>
                        <w:rFonts w:ascii="Cambria Math" w:hAnsi="Cambria Math"/>
                        <w:lang w:val="en-US"/>
                      </w:rPr>
                      <m:t>2</m:t>
                    </m:r>
                  </m:sub>
                </m:sSub>
              </m:e>
            </m:d>
          </m:e>
        </m:d>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d>
          <m:dPr>
            <m:begChr m:val="{"/>
            <m:endChr m:val="}"/>
            <m:ctrlPr>
              <w:rPr>
                <w:rFonts w:ascii="Cambria Math" w:hAnsi="Cambria Math"/>
                <w:i/>
                <w:lang w:val="en-US"/>
              </w:rPr>
            </m:ctrlPr>
          </m:dPr>
          <m:e>
            <m:r>
              <w:rPr>
                <w:rFonts w:ascii="Cambria Math" w:hAnsi="Cambria Math"/>
                <w:lang w:val="en-US"/>
              </w:rPr>
              <m:t>g</m:t>
            </m:r>
            <m:d>
              <m:dPr>
                <m:ctrlPr>
                  <w:rPr>
                    <w:rFonts w:ascii="Cambria Math" w:hAnsi="Cambria Math"/>
                    <w:i/>
                    <w:lang w:val="en-US"/>
                  </w:rPr>
                </m:ctrlPr>
              </m:dPr>
              <m:e>
                <m:r>
                  <w:rPr>
                    <w:rFonts w:ascii="Cambria Math" w:hAnsi="Cambria Math"/>
                    <w:lang w:val="en-US"/>
                  </w:rPr>
                  <m:t>±</m:t>
                </m:r>
                <m:r>
                  <m:rPr>
                    <m:sty m:val="b"/>
                  </m:rPr>
                  <w:rPr>
                    <w:rFonts w:ascii="Cambria Math" w:hAnsi="Cambria Math"/>
                    <w:lang w:val="en-US"/>
                  </w:rPr>
                  <m:t>x</m:t>
                </m:r>
                <m:r>
                  <w:rPr>
                    <w:rFonts w:ascii="Cambria Math" w:hAnsi="Cambria Math"/>
                    <w:lang w:val="en-US"/>
                  </w:rPr>
                  <m:t>; ±</m:t>
                </m:r>
                <m:sSub>
                  <m:sSubPr>
                    <m:ctrlPr>
                      <w:rPr>
                        <w:rFonts w:ascii="Cambria Math" w:hAnsi="Cambria Math"/>
                        <w:b/>
                        <w:i/>
                        <w:lang w:val="en-US"/>
                      </w:rPr>
                    </m:ctrlPr>
                  </m:sSubPr>
                  <m:e>
                    <m:r>
                      <m:rPr>
                        <m:sty m:val="bi"/>
                      </m:rPr>
                      <w:rPr>
                        <w:rFonts w:ascii="Cambria Math" w:hAnsi="Cambria Math"/>
                        <w:lang w:val="en-US"/>
                      </w:rPr>
                      <m:t>μ</m:t>
                    </m:r>
                  </m:e>
                  <m:sub>
                    <m:r>
                      <m:rPr>
                        <m:sty m:val="bi"/>
                      </m:rPr>
                      <w:rPr>
                        <w:rFonts w:ascii="Cambria Math" w:hAnsi="Cambria Math"/>
                        <w:lang w:val="en-US"/>
                      </w:rPr>
                      <m:t>1</m:t>
                    </m:r>
                  </m:sub>
                </m:sSub>
              </m:e>
            </m:d>
            <m:r>
              <w:rPr>
                <w:rFonts w:ascii="Cambria Math" w:hAnsi="Cambria Math"/>
                <w:lang w:val="en-US"/>
              </w:rPr>
              <m:t xml:space="preserve"> +g</m:t>
            </m:r>
            <m:d>
              <m:dPr>
                <m:ctrlPr>
                  <w:rPr>
                    <w:rFonts w:ascii="Cambria Math" w:hAnsi="Cambria Math"/>
                    <w:i/>
                    <w:lang w:val="en-US"/>
                  </w:rPr>
                </m:ctrlPr>
              </m:dPr>
              <m:e>
                <m:r>
                  <w:rPr>
                    <w:rFonts w:ascii="Cambria Math" w:hAnsi="Cambria Math"/>
                    <w:lang w:val="en-US"/>
                  </w:rPr>
                  <m:t>±</m:t>
                </m:r>
                <m:r>
                  <m:rPr>
                    <m:sty m:val="b"/>
                  </m:rPr>
                  <w:rPr>
                    <w:rFonts w:ascii="Cambria Math" w:hAnsi="Cambria Math"/>
                    <w:lang w:val="en-US"/>
                  </w:rPr>
                  <m:t>x</m:t>
                </m:r>
                <m:r>
                  <w:rPr>
                    <w:rFonts w:ascii="Cambria Math" w:hAnsi="Cambria Math"/>
                    <w:lang w:val="en-US"/>
                  </w:rPr>
                  <m:t>; ±</m:t>
                </m:r>
                <m:sSub>
                  <m:sSubPr>
                    <m:ctrlPr>
                      <w:rPr>
                        <w:rFonts w:ascii="Cambria Math" w:hAnsi="Cambria Math"/>
                        <w:b/>
                        <w:i/>
                        <w:lang w:val="en-US"/>
                      </w:rPr>
                    </m:ctrlPr>
                  </m:sSubPr>
                  <m:e>
                    <m:r>
                      <m:rPr>
                        <m:sty m:val="bi"/>
                      </m:rPr>
                      <w:rPr>
                        <w:rFonts w:ascii="Cambria Math" w:hAnsi="Cambria Math"/>
                        <w:lang w:val="en-US"/>
                      </w:rPr>
                      <m:t>μ</m:t>
                    </m:r>
                  </m:e>
                  <m:sub>
                    <m:r>
                      <m:rPr>
                        <m:sty m:val="bi"/>
                      </m:rPr>
                      <w:rPr>
                        <w:rFonts w:ascii="Cambria Math" w:hAnsi="Cambria Math"/>
                        <w:lang w:val="en-US"/>
                      </w:rPr>
                      <m:t>2</m:t>
                    </m:r>
                  </m:sub>
                </m:sSub>
              </m:e>
            </m:d>
          </m:e>
        </m:d>
      </m:oMath>
      <w:r w:rsidR="00381735">
        <w:rPr>
          <w:lang w:val="en-US"/>
        </w:rPr>
        <w:t>,</w:t>
      </w:r>
      <w:r w:rsidR="00313E13">
        <w:rPr>
          <w:lang w:val="en-US"/>
        </w:rPr>
        <w:tab/>
      </w:r>
      <w:r w:rsidR="00313E13">
        <w:rPr>
          <w:lang w:val="en-US"/>
        </w:rPr>
        <w:tab/>
        <w:t>(1)</w:t>
      </w:r>
    </w:p>
    <w:p w14:paraId="10B39911" w14:textId="1D6112A4" w:rsidR="00313E13" w:rsidRPr="00646B36" w:rsidRDefault="00313E13" w:rsidP="0040478C">
      <w:pPr>
        <w:spacing w:after="200" w:line="276" w:lineRule="auto"/>
        <w:jc w:val="both"/>
        <w:rPr>
          <w:lang w:val="en-US"/>
        </w:rPr>
      </w:pPr>
      <w:proofErr w:type="gramStart"/>
      <w:r w:rsidRPr="00646B36">
        <w:rPr>
          <w:lang w:val="en-US"/>
        </w:rPr>
        <w:t>where</w:t>
      </w:r>
      <w:proofErr w:type="gramEnd"/>
      <w:r w:rsidRPr="00646B36">
        <w:rPr>
          <w:lang w:val="en-US"/>
        </w:rPr>
        <w:t xml:space="preserve"> </w:t>
      </w:r>
      <w:r>
        <w:rPr>
          <w:lang w:val="en-US"/>
        </w:rPr>
        <w:sym w:font="Symbol" w:char="F0B1"/>
      </w:r>
      <w:r w:rsidRPr="004E2490">
        <w:rPr>
          <w:rFonts w:ascii="Symbol" w:hAnsi="Symbol"/>
          <w:b/>
          <w:i/>
          <w:lang w:val="en-US"/>
        </w:rPr>
        <w:t></w:t>
      </w:r>
      <w:r w:rsidRPr="004E2490">
        <w:rPr>
          <w:rFonts w:ascii="Symbol" w:hAnsi="Symbol"/>
          <w:b/>
          <w:vertAlign w:val="subscript"/>
          <w:lang w:val="en-US"/>
        </w:rPr>
        <w:t></w:t>
      </w:r>
      <w:r w:rsidRPr="00646B36">
        <w:rPr>
          <w:lang w:val="en-US"/>
        </w:rPr>
        <w:t xml:space="preserve"> and </w:t>
      </w:r>
      <w:r>
        <w:rPr>
          <w:lang w:val="en-US"/>
        </w:rPr>
        <w:sym w:font="Symbol" w:char="F0B1"/>
      </w:r>
      <w:r w:rsidRPr="0020027A">
        <w:rPr>
          <w:rFonts w:ascii="Symbol" w:hAnsi="Symbol"/>
          <w:b/>
          <w:i/>
          <w:lang w:val="en-US"/>
        </w:rPr>
        <w:t></w:t>
      </w:r>
      <w:r w:rsidRPr="0020027A">
        <w:rPr>
          <w:b/>
          <w:vertAlign w:val="subscript"/>
          <w:lang w:val="en-US"/>
        </w:rPr>
        <w:t>2</w:t>
      </w:r>
      <w:r w:rsidRPr="00646B36">
        <w:rPr>
          <w:lang w:val="en-US"/>
        </w:rPr>
        <w:t xml:space="preserve"> are axes</w:t>
      </w:r>
      <w:r w:rsidR="00271A01">
        <w:rPr>
          <w:lang w:val="en-US"/>
        </w:rPr>
        <w:t xml:space="preserve"> angle </w:t>
      </w:r>
      <w:r w:rsidR="00271A01" w:rsidRPr="00615260">
        <w:rPr>
          <w:rFonts w:ascii="Symbol" w:hAnsi="Symbol"/>
          <w:i/>
          <w:lang w:val="en-US"/>
        </w:rPr>
        <w:t></w:t>
      </w:r>
      <w:r w:rsidR="00271A01">
        <w:rPr>
          <w:lang w:val="en-US"/>
        </w:rPr>
        <w:t xml:space="preserve"> apart</w:t>
      </w:r>
      <w:r>
        <w:rPr>
          <w:lang w:val="en-US"/>
        </w:rPr>
        <w:t>,</w:t>
      </w:r>
      <w:r w:rsidRPr="00646B36">
        <w:rPr>
          <w:lang w:val="en-US"/>
        </w:rPr>
        <w:t xml:space="preserve"> and </w:t>
      </w:r>
      <w:r w:rsidRPr="0077177F">
        <w:rPr>
          <w:i/>
          <w:lang w:val="en-US"/>
        </w:rPr>
        <w:t>g</w:t>
      </w:r>
      <w:r w:rsidRPr="00646B36">
        <w:rPr>
          <w:lang w:val="en-US"/>
        </w:rPr>
        <w:t>(</w:t>
      </w:r>
      <w:r>
        <w:rPr>
          <w:lang w:val="en-US"/>
        </w:rPr>
        <w:t xml:space="preserve">.; </w:t>
      </w:r>
      <w:r>
        <w:rPr>
          <w:lang w:val="en-US"/>
        </w:rPr>
        <w:sym w:font="Symbol" w:char="F0B1"/>
      </w:r>
      <w:r w:rsidRPr="00DB064B">
        <w:rPr>
          <w:rFonts w:ascii="Symbol" w:hAnsi="Symbol"/>
          <w:b/>
          <w:i/>
          <w:lang w:val="en-US"/>
        </w:rPr>
        <w:t></w:t>
      </w:r>
      <w:r w:rsidRPr="00646B36">
        <w:rPr>
          <w:lang w:val="en-US"/>
        </w:rPr>
        <w:t xml:space="preserve">) </w:t>
      </w:r>
      <w:r>
        <w:rPr>
          <w:lang w:val="en-US"/>
        </w:rPr>
        <w:t>is the probability density func</w:t>
      </w:r>
      <w:r w:rsidRPr="00646B36">
        <w:rPr>
          <w:lang w:val="en-US"/>
        </w:rPr>
        <w:t>tion of some axial distribution that has rotational symmetry about</w:t>
      </w:r>
      <w:r w:rsidR="00271A01">
        <w:rPr>
          <w:lang w:val="en-US"/>
        </w:rPr>
        <w:t xml:space="preserve"> its mode</w:t>
      </w:r>
      <w:r w:rsidRPr="00646B36">
        <w:rPr>
          <w:lang w:val="en-US"/>
        </w:rPr>
        <w:t xml:space="preserve"> </w:t>
      </w:r>
      <w:r w:rsidR="00271A01">
        <w:rPr>
          <w:lang w:val="en-US"/>
        </w:rPr>
        <w:t>±</w:t>
      </w:r>
      <w:r w:rsidRPr="001E2420">
        <w:rPr>
          <w:rFonts w:ascii="Symbol" w:hAnsi="Symbol"/>
          <w:b/>
          <w:i/>
          <w:lang w:val="en-US"/>
        </w:rPr>
        <w:t></w:t>
      </w:r>
      <w:r w:rsidRPr="00646B36">
        <w:rPr>
          <w:lang w:val="en-US"/>
        </w:rPr>
        <w:t>;</w:t>
      </w:r>
    </w:p>
    <w:p w14:paraId="5503E7C2" w14:textId="0EA241EE" w:rsidR="00313E13" w:rsidRPr="00DD34B9" w:rsidRDefault="00AC5F66" w:rsidP="0040478C">
      <w:pPr>
        <w:pStyle w:val="ListParagraph"/>
        <w:numPr>
          <w:ilvl w:val="0"/>
          <w:numId w:val="11"/>
        </w:numPr>
        <w:spacing w:after="200" w:line="276" w:lineRule="auto"/>
        <w:jc w:val="both"/>
        <w:rPr>
          <w:lang w:val="en-US"/>
        </w:rPr>
      </w:pPr>
      <w:r>
        <w:rPr>
          <w:rFonts w:eastAsia="Times New Roman"/>
        </w:rPr>
        <w:t>The</w:t>
      </w:r>
      <w:r>
        <w:rPr>
          <w:rFonts w:eastAsia="Times New Roman"/>
          <w:b/>
          <w:bCs/>
        </w:rPr>
        <w:t> </w:t>
      </w:r>
      <w:proofErr w:type="spellStart"/>
      <w:r>
        <w:rPr>
          <w:rFonts w:eastAsia="Times New Roman"/>
          <w:b/>
          <w:bCs/>
        </w:rPr>
        <w:t>quadrimodal</w:t>
      </w:r>
      <w:proofErr w:type="spellEnd"/>
      <w:r>
        <w:rPr>
          <w:rFonts w:eastAsia="Times New Roman"/>
          <w:b/>
          <w:bCs/>
        </w:rPr>
        <w:t xml:space="preserve"> equal mixture model</w:t>
      </w:r>
      <w:r>
        <w:rPr>
          <w:rFonts w:eastAsia="Times New Roman"/>
        </w:rPr>
        <w:t xml:space="preserve"> can be thought of intuitively as obtained by </w:t>
      </w:r>
      <w:r w:rsidR="00B86935">
        <w:rPr>
          <w:rFonts w:eastAsia="Times New Roman"/>
        </w:rPr>
        <w:t>‘</w:t>
      </w:r>
      <w:r>
        <w:rPr>
          <w:rFonts w:eastAsia="Times New Roman"/>
        </w:rPr>
        <w:t>pulling apart</w:t>
      </w:r>
      <w:r w:rsidR="00B86935">
        <w:rPr>
          <w:rFonts w:eastAsia="Times New Roman"/>
        </w:rPr>
        <w:t>’</w:t>
      </w:r>
      <w:r>
        <w:rPr>
          <w:rFonts w:eastAsia="Times New Roman"/>
        </w:rPr>
        <w:t xml:space="preserve"> a bimodal equal mixture distribution into two bimodal equal mixture distributions with planes angle </w:t>
      </w:r>
      <w:r w:rsidRPr="00AC5F66">
        <w:rPr>
          <w:rFonts w:ascii="Symbol" w:eastAsia="Times New Roman" w:hAnsi="Symbol"/>
        </w:rPr>
        <w:t></w:t>
      </w:r>
      <w:r>
        <w:rPr>
          <w:rFonts w:eastAsia="Times New Roman"/>
        </w:rPr>
        <w:t xml:space="preserve"> apart, so that it has four equally strong modes. More precisely, the probability density is:</w:t>
      </w:r>
    </w:p>
    <w:p w14:paraId="11DEDB5D" w14:textId="7C33C182" w:rsidR="00313E13" w:rsidRDefault="009920E2" w:rsidP="00AC5F66">
      <w:pPr>
        <w:spacing w:after="200" w:line="276" w:lineRule="auto"/>
        <w:ind w:firstLine="360"/>
        <w:jc w:val="both"/>
        <w:rPr>
          <w:lang w:val="en-US"/>
        </w:rPr>
      </w:pPr>
      <m:oMath>
        <m:sSub>
          <m:sSubPr>
            <m:ctrlPr>
              <w:rPr>
                <w:rFonts w:ascii="Cambria Math" w:hAnsi="Cambria Math"/>
                <w:i/>
                <w:lang w:val="en-US"/>
              </w:rPr>
            </m:ctrlPr>
          </m:sSubPr>
          <m:e>
            <m:r>
              <w:rPr>
                <w:rFonts w:ascii="Cambria Math" w:hAnsi="Cambria Math"/>
                <w:lang w:val="en-US"/>
              </w:rPr>
              <m:t>f</m:t>
            </m:r>
          </m:e>
          <m:sub>
            <m:r>
              <w:rPr>
                <w:rFonts w:ascii="Cambria Math" w:hAnsi="Cambria Math"/>
                <w:lang w:val="en-US"/>
              </w:rPr>
              <m:t>4</m:t>
            </m:r>
          </m:sub>
        </m:sSub>
        <m:d>
          <m:dPr>
            <m:ctrlPr>
              <w:rPr>
                <w:rFonts w:ascii="Cambria Math" w:hAnsi="Cambria Math"/>
                <w:i/>
                <w:lang w:val="en-US"/>
              </w:rPr>
            </m:ctrlPr>
          </m:dPr>
          <m:e>
            <m:r>
              <w:rPr>
                <w:rFonts w:ascii="Cambria Math" w:hAnsi="Cambria Math"/>
                <w:lang w:val="en-US"/>
              </w:rPr>
              <m:t>±</m:t>
            </m:r>
            <m:r>
              <m:rPr>
                <m:sty m:val="b"/>
              </m:rPr>
              <w:rPr>
                <w:rFonts w:ascii="Cambria Math" w:hAnsi="Cambria Math"/>
                <w:lang w:val="en-US"/>
              </w:rPr>
              <m:t>x</m:t>
            </m:r>
            <m:r>
              <w:rPr>
                <w:rFonts w:ascii="Cambria Math" w:hAnsi="Cambria Math"/>
                <w:lang w:val="en-US"/>
              </w:rPr>
              <m:t xml:space="preserve">; </m:t>
            </m:r>
            <m:d>
              <m:dPr>
                <m:begChr m:val="{"/>
                <m:endChr m:val="}"/>
                <m:ctrlPr>
                  <w:rPr>
                    <w:rFonts w:ascii="Cambria Math" w:hAnsi="Cambria Math"/>
                    <w:i/>
                    <w:lang w:val="en-US"/>
                  </w:rPr>
                </m:ctrlPr>
              </m:dPr>
              <m:e>
                <m: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μ</m:t>
                    </m:r>
                  </m:e>
                  <m:sub>
                    <m:r>
                      <m:rPr>
                        <m:sty m:val="bi"/>
                      </m:rPr>
                      <w:rPr>
                        <w:rFonts w:ascii="Cambria Math" w:hAnsi="Cambria Math"/>
                        <w:lang w:val="en-US"/>
                      </w:rPr>
                      <m:t>1</m:t>
                    </m:r>
                  </m:sub>
                </m:sSub>
                <m:r>
                  <w:rPr>
                    <w:rFonts w:ascii="Cambria Math" w:hAnsi="Cambria Math"/>
                    <w:lang w:val="en-US"/>
                  </w:rPr>
                  <m:t>,±</m:t>
                </m:r>
                <m:sSub>
                  <m:sSubPr>
                    <m:ctrlPr>
                      <w:rPr>
                        <w:rFonts w:ascii="Cambria Math" w:hAnsi="Cambria Math"/>
                        <w:b/>
                        <w:i/>
                        <w:lang w:val="en-US"/>
                      </w:rPr>
                    </m:ctrlPr>
                  </m:sSubPr>
                  <m:e>
                    <m:r>
                      <m:rPr>
                        <m:sty m:val="bi"/>
                      </m:rPr>
                      <w:rPr>
                        <w:rFonts w:ascii="Cambria Math" w:hAnsi="Cambria Math"/>
                        <w:lang w:val="en-US"/>
                      </w:rPr>
                      <m:t>μ</m:t>
                    </m:r>
                  </m:e>
                  <m:sub>
                    <m:r>
                      <m:rPr>
                        <m:sty m:val="bi"/>
                      </m:rPr>
                      <w:rPr>
                        <w:rFonts w:ascii="Cambria Math" w:hAnsi="Cambria Math"/>
                        <w:lang w:val="en-US"/>
                      </w:rPr>
                      <m:t>2</m:t>
                    </m:r>
                  </m:sub>
                </m:sSub>
              </m:e>
            </m:d>
            <m:r>
              <w:rPr>
                <w:rFonts w:ascii="Cambria Math" w:hAnsi="Cambria Math"/>
                <w:lang w:val="en-US"/>
              </w:rPr>
              <m:t>, γ</m:t>
            </m:r>
          </m:e>
        </m:d>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4</m:t>
            </m:r>
          </m:den>
        </m:f>
        <m:nary>
          <m:naryPr>
            <m:chr m:val="∑"/>
            <m:limLoc m:val="subSup"/>
            <m:supHide m:val="1"/>
            <m:ctrlPr>
              <w:rPr>
                <w:rFonts w:ascii="Cambria Math" w:hAnsi="Cambria Math"/>
                <w:i/>
                <w:lang w:val="en-US"/>
              </w:rPr>
            </m:ctrlPr>
          </m:naryPr>
          <m:sub>
            <m:r>
              <m:rPr>
                <m:sty m:val="bi"/>
              </m:rPr>
              <w:rPr>
                <w:rFonts w:ascii="Cambria Math" w:hAnsi="Cambria Math"/>
                <w:lang w:val="en-US"/>
              </w:rPr>
              <m:t>ε,η</m:t>
            </m:r>
          </m:sub>
          <m:sup/>
          <m:e>
            <m:r>
              <w:rPr>
                <w:rFonts w:ascii="Cambria Math" w:hAnsi="Cambria Math"/>
                <w:lang w:val="en-US"/>
              </w:rPr>
              <m:t>g</m:t>
            </m:r>
            <m:d>
              <m:dPr>
                <m:ctrlPr>
                  <w:rPr>
                    <w:rFonts w:ascii="Cambria Math" w:hAnsi="Cambria Math"/>
                    <w:i/>
                    <w:lang w:val="en-US"/>
                  </w:rPr>
                </m:ctrlPr>
              </m:dPr>
              <m:e>
                <m:r>
                  <w:rPr>
                    <w:rFonts w:ascii="Cambria Math" w:hAnsi="Cambria Math"/>
                    <w:lang w:val="en-US"/>
                  </w:rPr>
                  <m:t>±</m:t>
                </m:r>
                <m:r>
                  <m:rPr>
                    <m:sty m:val="b"/>
                  </m:rPr>
                  <w:rPr>
                    <w:rFonts w:ascii="Cambria Math" w:hAnsi="Cambria Math"/>
                    <w:lang w:val="en-US"/>
                  </w:rPr>
                  <m:t>x</m:t>
                </m:r>
                <m:r>
                  <w:rPr>
                    <w:rFonts w:ascii="Cambria Math" w:hAnsi="Cambria Math"/>
                    <w:lang w:val="en-US"/>
                  </w:rPr>
                  <m:t>; ±</m:t>
                </m:r>
                <m:sSub>
                  <m:sSubPr>
                    <m:ctrlPr>
                      <w:rPr>
                        <w:rFonts w:ascii="Cambria Math" w:hAnsi="Cambria Math"/>
                        <w:b/>
                        <w:i/>
                        <w:lang w:val="en-US"/>
                      </w:rPr>
                    </m:ctrlPr>
                  </m:sSubPr>
                  <m:e>
                    <m:r>
                      <m:rPr>
                        <m:sty m:val="bi"/>
                      </m:rPr>
                      <w:rPr>
                        <w:rFonts w:ascii="Cambria Math" w:hAnsi="Cambria Math"/>
                        <w:lang w:val="en-US"/>
                      </w:rPr>
                      <m:t>μ</m:t>
                    </m:r>
                  </m:e>
                  <m:sub>
                    <m:r>
                      <m:rPr>
                        <m:sty m:val="bi"/>
                      </m:rPr>
                      <w:rPr>
                        <w:rFonts w:ascii="Cambria Math" w:hAnsi="Cambria Math"/>
                        <w:lang w:val="en-US"/>
                      </w:rPr>
                      <m:t>ε,η</m:t>
                    </m:r>
                  </m:sub>
                </m:sSub>
              </m:e>
            </m:d>
          </m:e>
        </m:nary>
        <m:r>
          <w:rPr>
            <w:rFonts w:ascii="Cambria Math" w:hAnsi="Cambria Math"/>
            <w:lang w:val="en-US"/>
          </w:rPr>
          <m:t>,</m:t>
        </m:r>
      </m:oMath>
      <w:r w:rsidR="00313E13">
        <w:rPr>
          <w:lang w:val="en-US"/>
        </w:rPr>
        <w:tab/>
      </w:r>
      <w:r w:rsidR="00313E13">
        <w:rPr>
          <w:lang w:val="en-US"/>
        </w:rPr>
        <w:tab/>
      </w:r>
      <w:r w:rsidR="00313E13">
        <w:rPr>
          <w:lang w:val="en-US"/>
        </w:rPr>
        <w:tab/>
        <w:t>(2)</w:t>
      </w:r>
    </w:p>
    <w:p w14:paraId="2D92491E" w14:textId="77777777" w:rsidR="00313E13" w:rsidRDefault="00313E13" w:rsidP="0040478C">
      <w:pPr>
        <w:spacing w:after="200" w:line="276" w:lineRule="auto"/>
        <w:jc w:val="both"/>
        <w:rPr>
          <w:lang w:val="en-US"/>
        </w:rPr>
      </w:pPr>
      <w:proofErr w:type="gramStart"/>
      <w:r w:rsidRPr="00646B36">
        <w:rPr>
          <w:lang w:val="en-US"/>
        </w:rPr>
        <w:t>where</w:t>
      </w:r>
      <w:proofErr w:type="gramEnd"/>
    </w:p>
    <w:p w14:paraId="600BBE91" w14:textId="17A4FC49" w:rsidR="00313E13" w:rsidRPr="00991926" w:rsidRDefault="009920E2" w:rsidP="00E10DF2">
      <w:pPr>
        <w:spacing w:after="200" w:line="276" w:lineRule="auto"/>
        <w:ind w:firstLine="720"/>
        <w:jc w:val="both"/>
        <w:rPr>
          <w:lang w:val="en-US"/>
        </w:rPr>
      </w:pPr>
      <m:oMath>
        <m:sSub>
          <m:sSubPr>
            <m:ctrlPr>
              <w:rPr>
                <w:rFonts w:ascii="Cambria Math" w:hAnsi="Cambria Math"/>
                <w:b/>
                <w:i/>
                <w:lang w:val="en-US"/>
              </w:rPr>
            </m:ctrlPr>
          </m:sSubPr>
          <m:e>
            <m:r>
              <m:rPr>
                <m:sty m:val="bi"/>
              </m:rPr>
              <w:rPr>
                <w:rFonts w:ascii="Cambria Math" w:hAnsi="Cambria Math"/>
                <w:lang w:val="en-US"/>
              </w:rPr>
              <m:t>μ</m:t>
            </m:r>
          </m:e>
          <m:sub>
            <m:r>
              <m:rPr>
                <m:sty m:val="bi"/>
              </m:rPr>
              <w:rPr>
                <w:rFonts w:ascii="Cambria Math" w:hAnsi="Cambria Math"/>
                <w:lang w:val="en-US"/>
              </w:rPr>
              <m:t>ϵ,η</m:t>
            </m:r>
          </m:sub>
        </m:sSub>
        <m:r>
          <w:rPr>
            <w:rFonts w:ascii="Cambria Math" w:hAnsi="Cambria Math"/>
            <w:lang w:val="en-US"/>
          </w:rPr>
          <m:t>=</m:t>
        </m:r>
        <m:acc>
          <m:accPr>
            <m:chr m:val="̌"/>
            <m:ctrlPr>
              <w:rPr>
                <w:rFonts w:ascii="Cambria Math" w:hAnsi="Cambria Math"/>
                <w:i/>
                <w:lang w:val="en-US"/>
              </w:rPr>
            </m:ctrlPr>
          </m:accPr>
          <m:e>
            <m:r>
              <w:rPr>
                <w:rFonts w:ascii="Cambria Math" w:hAnsi="Cambria Math"/>
                <w:lang w:val="en-US"/>
              </w:rPr>
              <m:t>c</m:t>
            </m:r>
          </m:e>
        </m:acc>
        <m:d>
          <m:dPr>
            <m:ctrlPr>
              <w:rPr>
                <w:rFonts w:ascii="Cambria Math" w:hAnsi="Cambria Math"/>
                <w:i/>
                <w:lang w:val="en-US"/>
              </w:rPr>
            </m:ctrlPr>
          </m:dPr>
          <m:e>
            <m:r>
              <w:rPr>
                <w:rFonts w:ascii="Cambria Math" w:hAnsi="Cambria Math"/>
                <w:lang w:val="en-US"/>
              </w:rPr>
              <m:t>c</m:t>
            </m:r>
            <m:sSub>
              <m:sSubPr>
                <m:ctrlPr>
                  <w:rPr>
                    <w:rFonts w:ascii="Cambria Math" w:hAnsi="Cambria Math"/>
                    <w:b/>
                    <w:i/>
                    <w:lang w:val="en-US"/>
                  </w:rPr>
                </m:ctrlPr>
              </m:sSubPr>
              <m:e>
                <m:r>
                  <m:rPr>
                    <m:sty m:val="bi"/>
                  </m:rPr>
                  <w:rPr>
                    <w:rFonts w:ascii="Cambria Math" w:hAnsi="Cambria Math"/>
                    <w:lang w:val="en-US"/>
                  </w:rPr>
                  <m:t>ν</m:t>
                </m:r>
              </m:e>
              <m:sub>
                <m:r>
                  <m:rPr>
                    <m:sty m:val="bi"/>
                  </m:rPr>
                  <w:rPr>
                    <w:rFonts w:ascii="Cambria Math" w:hAnsi="Cambria Math"/>
                    <w:lang w:val="en-US"/>
                  </w:rPr>
                  <m:t>1</m:t>
                </m:r>
              </m:sub>
            </m:sSub>
            <m:r>
              <w:rPr>
                <w:rFonts w:ascii="Cambria Math" w:hAnsi="Cambria Math"/>
                <w:lang w:val="en-US"/>
              </w:rPr>
              <m:t>+ ϵs</m:t>
            </m:r>
            <m:sSub>
              <m:sSubPr>
                <m:ctrlPr>
                  <w:rPr>
                    <w:rFonts w:ascii="Cambria Math" w:hAnsi="Cambria Math"/>
                    <w:b/>
                    <w:i/>
                    <w:lang w:val="en-US"/>
                  </w:rPr>
                </m:ctrlPr>
              </m:sSubPr>
              <m:e>
                <m:r>
                  <m:rPr>
                    <m:sty m:val="bi"/>
                  </m:rPr>
                  <w:rPr>
                    <w:rFonts w:ascii="Cambria Math" w:hAnsi="Cambria Math"/>
                    <w:lang w:val="en-US"/>
                  </w:rPr>
                  <m:t>ν</m:t>
                </m:r>
              </m:e>
              <m:sub>
                <m:r>
                  <m:rPr>
                    <m:sty m:val="bi"/>
                  </m:rPr>
                  <w:rPr>
                    <w:rFonts w:ascii="Cambria Math" w:hAnsi="Cambria Math"/>
                    <w:lang w:val="en-US"/>
                  </w:rPr>
                  <m:t>2</m:t>
                </m:r>
              </m:sub>
            </m:sSub>
          </m:e>
        </m:d>
        <m:r>
          <w:rPr>
            <w:rFonts w:ascii="Cambria Math" w:hAnsi="Cambria Math"/>
            <w:lang w:val="en-US"/>
          </w:rPr>
          <m:t>+ η</m:t>
        </m:r>
        <m:acc>
          <m:accPr>
            <m:chr m:val="̌"/>
            <m:ctrlPr>
              <w:rPr>
                <w:rFonts w:ascii="Cambria Math" w:hAnsi="Cambria Math"/>
                <w:i/>
                <w:lang w:val="en-US"/>
              </w:rPr>
            </m:ctrlPr>
          </m:accPr>
          <m:e>
            <m:r>
              <w:rPr>
                <w:rFonts w:ascii="Cambria Math" w:hAnsi="Cambria Math"/>
                <w:lang w:val="en-US"/>
              </w:rPr>
              <m:t>s</m:t>
            </m:r>
          </m:e>
        </m:acc>
        <m:sSub>
          <m:sSubPr>
            <m:ctrlPr>
              <w:rPr>
                <w:rFonts w:ascii="Cambria Math" w:hAnsi="Cambria Math"/>
                <w:b/>
                <w:i/>
                <w:lang w:val="en-US"/>
              </w:rPr>
            </m:ctrlPr>
          </m:sSubPr>
          <m:e>
            <m:r>
              <m:rPr>
                <m:sty m:val="bi"/>
              </m:rPr>
              <w:rPr>
                <w:rFonts w:ascii="Cambria Math" w:hAnsi="Cambria Math"/>
                <w:lang w:val="en-US"/>
              </w:rPr>
              <m:t>ν</m:t>
            </m:r>
          </m:e>
          <m:sub>
            <m:r>
              <m:rPr>
                <m:sty m:val="bi"/>
              </m:rPr>
              <w:rPr>
                <w:rFonts w:ascii="Cambria Math" w:hAnsi="Cambria Math"/>
                <w:lang w:val="en-US"/>
              </w:rPr>
              <m:t>3</m:t>
            </m:r>
          </m:sub>
        </m:sSub>
      </m:oMath>
      <w:r w:rsidR="00313E13">
        <w:rPr>
          <w:b/>
          <w:lang w:val="en-US"/>
        </w:rPr>
        <w:t xml:space="preserve"> </w:t>
      </w:r>
      <w:r w:rsidR="00313E13" w:rsidRPr="00991926">
        <w:rPr>
          <w:lang w:val="en-US"/>
        </w:rPr>
        <w:tab/>
      </w:r>
      <w:r w:rsidR="00313E13" w:rsidRPr="00991926">
        <w:rPr>
          <w:lang w:val="en-US"/>
        </w:rPr>
        <w:tab/>
      </w:r>
      <w:r w:rsidR="00313E13" w:rsidRPr="00991926">
        <w:rPr>
          <w:lang w:val="en-US"/>
        </w:rPr>
        <w:tab/>
      </w:r>
      <w:r w:rsidR="00313E13" w:rsidRPr="00991926">
        <w:rPr>
          <w:lang w:val="en-US"/>
        </w:rPr>
        <w:tab/>
        <w:t>(3)</w:t>
      </w:r>
    </w:p>
    <w:p w14:paraId="70711CC0" w14:textId="70ACF159" w:rsidR="00313E13" w:rsidRDefault="00236A32" w:rsidP="0040478C">
      <w:pPr>
        <w:spacing w:after="200" w:line="276" w:lineRule="auto"/>
        <w:jc w:val="both"/>
        <w:rPr>
          <w:lang w:val="en-US"/>
        </w:rPr>
      </w:pPr>
      <w:proofErr w:type="gramStart"/>
      <w:r>
        <w:rPr>
          <w:lang w:val="en-US"/>
        </w:rPr>
        <w:t>with</w:t>
      </w:r>
      <w:proofErr w:type="gramEnd"/>
      <m:oMath>
        <m:r>
          <w:rPr>
            <w:rFonts w:ascii="Cambria Math" w:hAnsi="Cambria Math"/>
            <w:lang w:val="en-US"/>
          </w:rPr>
          <m:t>c=</m:t>
        </m:r>
        <m:func>
          <m:funcPr>
            <m:ctrlPr>
              <w:rPr>
                <w:rFonts w:ascii="Cambria Math" w:hAnsi="Cambria Math"/>
                <w:lang w:val="en-US"/>
              </w:rPr>
            </m:ctrlPr>
          </m:funcPr>
          <m:fName>
            <m:r>
              <m:rPr>
                <m:sty m:val="p"/>
              </m:rPr>
              <w:rPr>
                <w:rFonts w:ascii="Cambria Math" w:hAnsi="Cambria Math"/>
                <w:lang w:val="en-US"/>
              </w:rPr>
              <m:t>cos</m:t>
            </m:r>
          </m:fName>
          <m:e>
            <m:d>
              <m:dPr>
                <m:ctrlPr>
                  <w:rPr>
                    <w:rFonts w:ascii="Cambria Math" w:hAnsi="Cambria Math"/>
                    <w:i/>
                    <w:lang w:val="en-US"/>
                  </w:rPr>
                </m:ctrlPr>
              </m:dPr>
              <m:e>
                <m:f>
                  <m:fPr>
                    <m:type m:val="lin"/>
                    <m:ctrlPr>
                      <w:rPr>
                        <w:rFonts w:ascii="Cambria Math" w:hAnsi="Cambria Math"/>
                        <w:i/>
                        <w:lang w:val="en-US"/>
                      </w:rPr>
                    </m:ctrlPr>
                  </m:fPr>
                  <m:num>
                    <m:r>
                      <w:rPr>
                        <w:rFonts w:ascii="Cambria Math" w:hAnsi="Cambria Math"/>
                        <w:lang w:val="en-US"/>
                      </w:rPr>
                      <m:t>α</m:t>
                    </m:r>
                  </m:num>
                  <m:den>
                    <m:r>
                      <w:rPr>
                        <w:rFonts w:ascii="Cambria Math" w:hAnsi="Cambria Math"/>
                        <w:lang w:val="en-US"/>
                      </w:rPr>
                      <m:t>2</m:t>
                    </m:r>
                  </m:den>
                </m:f>
              </m:e>
            </m:d>
          </m:e>
        </m:func>
        <m:r>
          <w:rPr>
            <w:rFonts w:ascii="Cambria Math" w:hAnsi="Cambria Math"/>
            <w:lang w:val="en-US"/>
          </w:rPr>
          <m:t>, s=</m:t>
        </m:r>
        <m:func>
          <m:funcPr>
            <m:ctrlPr>
              <w:rPr>
                <w:rFonts w:ascii="Cambria Math" w:hAnsi="Cambria Math"/>
                <w:lang w:val="en-US"/>
              </w:rPr>
            </m:ctrlPr>
          </m:funcPr>
          <m:fName>
            <m:r>
              <m:rPr>
                <m:sty m:val="p"/>
              </m:rPr>
              <w:rPr>
                <w:rFonts w:ascii="Cambria Math" w:hAnsi="Cambria Math"/>
                <w:lang w:val="en-US"/>
              </w:rPr>
              <m:t>sin</m:t>
            </m:r>
          </m:fName>
          <m:e>
            <m:d>
              <m:dPr>
                <m:ctrlPr>
                  <w:rPr>
                    <w:rFonts w:ascii="Cambria Math" w:hAnsi="Cambria Math"/>
                    <w:i/>
                    <w:lang w:val="en-US"/>
                  </w:rPr>
                </m:ctrlPr>
              </m:dPr>
              <m:e>
                <m:f>
                  <m:fPr>
                    <m:type m:val="lin"/>
                    <m:ctrlPr>
                      <w:rPr>
                        <w:rFonts w:ascii="Cambria Math" w:hAnsi="Cambria Math"/>
                        <w:i/>
                        <w:lang w:val="en-US"/>
                      </w:rPr>
                    </m:ctrlPr>
                  </m:fPr>
                  <m:num>
                    <m:r>
                      <w:rPr>
                        <w:rFonts w:ascii="Cambria Math" w:hAnsi="Cambria Math"/>
                        <w:lang w:val="en-US"/>
                      </w:rPr>
                      <m:t>α</m:t>
                    </m:r>
                  </m:num>
                  <m:den>
                    <m:r>
                      <w:rPr>
                        <w:rFonts w:ascii="Cambria Math" w:hAnsi="Cambria Math"/>
                        <w:lang w:val="en-US"/>
                      </w:rPr>
                      <m:t>2</m:t>
                    </m:r>
                  </m:den>
                </m:f>
              </m:e>
            </m:d>
          </m:e>
        </m:func>
        <m:r>
          <w:rPr>
            <w:rFonts w:ascii="Cambria Math" w:hAnsi="Cambria Math"/>
            <w:lang w:val="en-US"/>
          </w:rPr>
          <m:t xml:space="preserve">, </m:t>
        </m:r>
        <m:acc>
          <m:accPr>
            <m:chr m:val="̌"/>
            <m:ctrlPr>
              <w:rPr>
                <w:rFonts w:ascii="Cambria Math" w:hAnsi="Cambria Math"/>
                <w:i/>
                <w:lang w:val="en-US"/>
              </w:rPr>
            </m:ctrlPr>
          </m:accPr>
          <m:e>
            <m:r>
              <w:rPr>
                <w:rFonts w:ascii="Cambria Math" w:hAnsi="Cambria Math"/>
                <w:lang w:val="en-US"/>
              </w:rPr>
              <m:t>c</m:t>
            </m:r>
          </m:e>
        </m:acc>
        <m: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cos</m:t>
            </m:r>
          </m:fName>
          <m:e>
            <m:d>
              <m:dPr>
                <m:ctrlPr>
                  <w:rPr>
                    <w:rFonts w:ascii="Cambria Math" w:hAnsi="Cambria Math"/>
                    <w:i/>
                    <w:lang w:val="en-US"/>
                  </w:rPr>
                </m:ctrlPr>
              </m:dPr>
              <m:e>
                <m:f>
                  <m:fPr>
                    <m:type m:val="lin"/>
                    <m:ctrlPr>
                      <w:rPr>
                        <w:rFonts w:ascii="Cambria Math" w:hAnsi="Cambria Math"/>
                        <w:i/>
                        <w:lang w:val="en-US"/>
                      </w:rPr>
                    </m:ctrlPr>
                  </m:fPr>
                  <m:num>
                    <m:r>
                      <w:rPr>
                        <w:rFonts w:ascii="Cambria Math" w:hAnsi="Cambria Math"/>
                        <w:lang w:val="en-US"/>
                      </w:rPr>
                      <m:t>γ</m:t>
                    </m:r>
                  </m:num>
                  <m:den>
                    <m:r>
                      <w:rPr>
                        <w:rFonts w:ascii="Cambria Math" w:hAnsi="Cambria Math"/>
                        <w:lang w:val="en-US"/>
                      </w:rPr>
                      <m:t>2</m:t>
                    </m:r>
                  </m:den>
                </m:f>
              </m:e>
            </m:d>
          </m:e>
        </m:func>
        <m:r>
          <w:rPr>
            <w:rFonts w:ascii="Cambria Math" w:hAnsi="Cambria Math"/>
            <w:lang w:val="en-US"/>
          </w:rPr>
          <m:t xml:space="preserve">, </m:t>
        </m:r>
        <m:acc>
          <m:accPr>
            <m:chr m:val="̌"/>
            <m:ctrlPr>
              <w:rPr>
                <w:rFonts w:ascii="Cambria Math" w:hAnsi="Cambria Math"/>
                <w:i/>
                <w:lang w:val="en-US"/>
              </w:rPr>
            </m:ctrlPr>
          </m:accPr>
          <m:e>
            <m:r>
              <w:rPr>
                <w:rFonts w:ascii="Cambria Math" w:hAnsi="Cambria Math"/>
                <w:lang w:val="en-US"/>
              </w:rPr>
              <m:t>s</m:t>
            </m:r>
          </m:e>
        </m:acc>
        <m:r>
          <w:rPr>
            <w:rFonts w:ascii="Cambria Math" w:hAnsi="Cambria Math"/>
            <w:lang w:val="en-US"/>
          </w:rPr>
          <m:t>=</m:t>
        </m:r>
        <m:r>
          <m:rPr>
            <m:sty m:val="p"/>
          </m:rPr>
          <w:rPr>
            <w:rFonts w:ascii="Cambria Math" w:hAnsi="Cambria Math"/>
            <w:lang w:val="en-US"/>
          </w:rPr>
          <m:t>sin⁡</m:t>
        </m:r>
        <m:r>
          <w:rPr>
            <w:rFonts w:ascii="Cambria Math" w:hAnsi="Cambria Math"/>
            <w:lang w:val="en-US"/>
          </w:rPr>
          <m:t>(</m:t>
        </m:r>
        <m:f>
          <m:fPr>
            <m:type m:val="lin"/>
            <m:ctrlPr>
              <w:rPr>
                <w:rFonts w:ascii="Cambria Math" w:hAnsi="Cambria Math"/>
                <w:i/>
                <w:lang w:val="en-US"/>
              </w:rPr>
            </m:ctrlPr>
          </m:fPr>
          <m:num>
            <m:r>
              <w:rPr>
                <w:rFonts w:ascii="Cambria Math" w:hAnsi="Cambria Math"/>
                <w:lang w:val="en-US"/>
              </w:rPr>
              <m:t>γ</m:t>
            </m:r>
          </m:num>
          <m:den>
            <m:r>
              <w:rPr>
                <w:rFonts w:ascii="Cambria Math" w:hAnsi="Cambria Math"/>
                <w:lang w:val="en-US"/>
              </w:rPr>
              <m:t>2)</m:t>
            </m:r>
          </m:den>
        </m:f>
        <m:r>
          <w:rPr>
            <w:rFonts w:ascii="Cambria Math" w:hAnsi="Cambria Math"/>
            <w:lang w:val="en-US"/>
          </w:rPr>
          <m:t xml:space="preserve"> ,</m:t>
        </m:r>
        <m:func>
          <m:funcPr>
            <m:ctrlPr>
              <w:rPr>
                <w:rFonts w:ascii="Cambria Math" w:hAnsi="Cambria Math"/>
                <w:i/>
                <w:lang w:val="en-US"/>
              </w:rPr>
            </m:ctrlPr>
          </m:funcPr>
          <m:fName>
            <m:r>
              <m:rPr>
                <m:sty m:val="p"/>
              </m:rPr>
              <w:rPr>
                <w:rFonts w:ascii="Cambria Math" w:hAnsi="Cambria Math"/>
                <w:lang w:val="en-US"/>
              </w:rPr>
              <m:t>cos</m:t>
            </m:r>
          </m:fName>
          <m:e>
            <m:d>
              <m:dPr>
                <m:ctrlPr>
                  <w:rPr>
                    <w:rFonts w:ascii="Cambria Math" w:hAnsi="Cambria Math"/>
                    <w:i/>
                    <w:lang w:val="en-US"/>
                  </w:rPr>
                </m:ctrlPr>
              </m:dPr>
              <m:e>
                <m:r>
                  <w:rPr>
                    <w:rFonts w:ascii="Cambria Math" w:hAnsi="Cambria Math"/>
                    <w:lang w:val="en-US"/>
                  </w:rPr>
                  <m:t>α</m:t>
                </m:r>
              </m:e>
            </m:d>
          </m:e>
        </m:func>
        <m:r>
          <w:rPr>
            <w:rFonts w:ascii="Cambria Math" w:hAnsi="Cambria Math"/>
            <w:lang w:val="en-US"/>
          </w:rPr>
          <m:t xml:space="preserve">= </m:t>
        </m:r>
        <m:sSubSup>
          <m:sSubSupPr>
            <m:ctrlPr>
              <w:rPr>
                <w:rFonts w:ascii="Cambria Math" w:hAnsi="Cambria Math"/>
                <w:b/>
                <w:i/>
                <w:lang w:val="en-US"/>
              </w:rPr>
            </m:ctrlPr>
          </m:sSubSupPr>
          <m:e>
            <m:r>
              <m:rPr>
                <m:sty m:val="bi"/>
              </m:rPr>
              <w:rPr>
                <w:rFonts w:ascii="Cambria Math" w:hAnsi="Cambria Math"/>
                <w:lang w:val="en-US"/>
              </w:rPr>
              <m:t>μ</m:t>
            </m:r>
          </m:e>
          <m:sub>
            <m:r>
              <m:rPr>
                <m:sty m:val="bi"/>
              </m:rPr>
              <w:rPr>
                <w:rFonts w:ascii="Cambria Math" w:hAnsi="Cambria Math"/>
                <w:lang w:val="en-US"/>
              </w:rPr>
              <m:t>1</m:t>
            </m:r>
          </m:sub>
          <m:sup>
            <m:r>
              <m:rPr>
                <m:sty m:val="bi"/>
              </m:rPr>
              <w:rPr>
                <w:rFonts w:ascii="Cambria Math" w:hAnsi="Cambria Math"/>
                <w:lang w:val="en-US"/>
              </w:rPr>
              <m:t>'</m:t>
            </m:r>
          </m:sup>
        </m:sSubSup>
        <m:sSub>
          <m:sSubPr>
            <m:ctrlPr>
              <w:rPr>
                <w:rFonts w:ascii="Cambria Math" w:hAnsi="Cambria Math"/>
                <w:b/>
                <w:i/>
                <w:lang w:val="en-US"/>
              </w:rPr>
            </m:ctrlPr>
          </m:sSubPr>
          <m:e>
            <m:r>
              <m:rPr>
                <m:sty m:val="bi"/>
              </m:rPr>
              <w:rPr>
                <w:rFonts w:ascii="Cambria Math" w:hAnsi="Cambria Math"/>
                <w:lang w:val="en-US"/>
              </w:rPr>
              <m:t>μ</m:t>
            </m:r>
          </m:e>
          <m:sub>
            <m:r>
              <m:rPr>
                <m:sty m:val="bi"/>
              </m:rPr>
              <w:rPr>
                <w:rFonts w:ascii="Cambria Math" w:hAnsi="Cambria Math"/>
                <w:lang w:val="en-US"/>
              </w:rPr>
              <m:t>2</m:t>
            </m:r>
          </m:sub>
        </m:sSub>
      </m:oMath>
      <w:r w:rsidR="00D54BF9">
        <w:rPr>
          <w:lang w:val="en-US"/>
        </w:rPr>
        <w:t>an</w:t>
      </w:r>
      <w:r w:rsidR="00313E13">
        <w:rPr>
          <w:lang w:val="en-US"/>
        </w:rPr>
        <w:t xml:space="preserve">d </w:t>
      </w:r>
      <m:oMath>
        <m:d>
          <m:dPr>
            <m:ctrlPr>
              <w:rPr>
                <w:rFonts w:ascii="Cambria Math" w:hAnsi="Cambria Math"/>
                <w:i/>
                <w:lang w:val="en-US"/>
              </w:rPr>
            </m:ctrlPr>
          </m:dPr>
          <m:e>
            <m:r>
              <w:rPr>
                <w:rFonts w:ascii="Cambria Math" w:hAnsi="Cambria Math"/>
                <w:lang w:val="en-US"/>
              </w:rPr>
              <m:t>ϵ, η</m:t>
            </m:r>
          </m:e>
        </m:d>
      </m:oMath>
      <w:r w:rsidR="00313E13">
        <w:rPr>
          <w:lang w:val="en-US"/>
        </w:rPr>
        <w:t xml:space="preserve"> runs through </w:t>
      </w:r>
      <m:oMath>
        <m:sSup>
          <m:sSupPr>
            <m:ctrlPr>
              <w:rPr>
                <w:rFonts w:ascii="Cambria Math" w:hAnsi="Cambria Math"/>
                <w:i/>
                <w:lang w:val="en-US"/>
              </w:rPr>
            </m:ctrlPr>
          </m:sSupPr>
          <m:e>
            <m:d>
              <m:dPr>
                <m:begChr m:val="{"/>
                <m:endChr m:val="}"/>
                <m:ctrlPr>
                  <w:rPr>
                    <w:rFonts w:ascii="Cambria Math" w:hAnsi="Cambria Math"/>
                    <w:i/>
                    <w:lang w:val="en-US"/>
                  </w:rPr>
                </m:ctrlPr>
              </m:dPr>
              <m:e>
                <m:r>
                  <w:rPr>
                    <w:rFonts w:ascii="Cambria Math" w:hAnsi="Cambria Math"/>
                    <w:lang w:val="en-US"/>
                  </w:rPr>
                  <m:t>±1</m:t>
                </m:r>
              </m:e>
            </m:d>
          </m:e>
          <m:sup>
            <m:r>
              <w:rPr>
                <w:rFonts w:ascii="Cambria Math" w:hAnsi="Cambria Math"/>
                <w:lang w:val="en-US"/>
              </w:rPr>
              <m:t>2</m:t>
            </m:r>
          </m:sup>
        </m:sSup>
      </m:oMath>
      <w:r w:rsidR="00313E13">
        <w:rPr>
          <w:lang w:val="en-US"/>
        </w:rPr>
        <w:t>.</w:t>
      </w:r>
      <w:r w:rsidR="00361626">
        <w:rPr>
          <w:lang w:val="en-US"/>
        </w:rPr>
        <w:t xml:space="preserve"> If </w:t>
      </w:r>
      <w:r w:rsidR="00361626" w:rsidRPr="00615260">
        <w:rPr>
          <w:rFonts w:ascii="Symbol" w:hAnsi="Symbol"/>
          <w:i/>
          <w:lang w:val="en-US"/>
        </w:rPr>
        <w:t></w:t>
      </w:r>
      <w:r w:rsidR="00361626">
        <w:rPr>
          <w:lang w:val="en-US"/>
        </w:rPr>
        <w:t xml:space="preserve"> = </w:t>
      </w:r>
      <w:proofErr w:type="gramStart"/>
      <w:r w:rsidR="00361626">
        <w:rPr>
          <w:lang w:val="en-US"/>
        </w:rPr>
        <w:t>0</w:t>
      </w:r>
      <w:proofErr w:type="gramEnd"/>
      <w:r w:rsidR="009723D9">
        <w:rPr>
          <w:lang w:val="en-US"/>
        </w:rPr>
        <w:t>,</w:t>
      </w:r>
      <w:r w:rsidR="00361626">
        <w:rPr>
          <w:lang w:val="en-US"/>
        </w:rPr>
        <w:t xml:space="preserve"> then </w:t>
      </w:r>
      <w:r w:rsidR="00BA7071">
        <w:rPr>
          <w:lang w:val="en-US"/>
        </w:rPr>
        <w:t xml:space="preserve">Eq. </w:t>
      </w:r>
      <w:r w:rsidR="00361626">
        <w:rPr>
          <w:lang w:val="en-US"/>
        </w:rPr>
        <w:t xml:space="preserve">(3) reduces to </w:t>
      </w:r>
      <w:r w:rsidR="00BA7071">
        <w:rPr>
          <w:lang w:val="en-US"/>
        </w:rPr>
        <w:t xml:space="preserve">Eq. </w:t>
      </w:r>
      <w:r w:rsidR="00361626">
        <w:rPr>
          <w:lang w:val="en-US"/>
        </w:rPr>
        <w:t xml:space="preserve">(2). </w:t>
      </w:r>
    </w:p>
    <w:p w14:paraId="3E68E3F1" w14:textId="627548F1" w:rsidR="00313E13" w:rsidRDefault="00313E13" w:rsidP="0040478C">
      <w:pPr>
        <w:spacing w:after="200" w:line="276" w:lineRule="auto"/>
        <w:jc w:val="both"/>
        <w:rPr>
          <w:lang w:val="en-US"/>
        </w:rPr>
      </w:pPr>
      <w:r>
        <w:rPr>
          <w:lang w:val="en-US"/>
        </w:rPr>
        <w:t>The</w:t>
      </w:r>
      <w:r w:rsidRPr="00646B36">
        <w:rPr>
          <w:lang w:val="en-US"/>
        </w:rPr>
        <w:t xml:space="preserve"> problem of interest is to decide whether the parent distribution is </w:t>
      </w:r>
      <w:r w:rsidR="00BA7071">
        <w:rPr>
          <w:lang w:val="en-US"/>
        </w:rPr>
        <w:t xml:space="preserve">Eq. </w:t>
      </w:r>
      <w:r w:rsidRPr="00646B36">
        <w:rPr>
          <w:lang w:val="en-US"/>
        </w:rPr>
        <w:t>(1)</w:t>
      </w:r>
      <w:r>
        <w:rPr>
          <w:lang w:val="en-US"/>
        </w:rPr>
        <w:t xml:space="preserve"> </w:t>
      </w:r>
      <w:r w:rsidRPr="00646B36">
        <w:rPr>
          <w:lang w:val="en-US"/>
        </w:rPr>
        <w:t xml:space="preserve">or </w:t>
      </w:r>
      <w:r w:rsidR="00BA7071">
        <w:rPr>
          <w:lang w:val="en-US"/>
        </w:rPr>
        <w:t xml:space="preserve">Eq. </w:t>
      </w:r>
      <w:r w:rsidRPr="00646B36">
        <w:rPr>
          <w:lang w:val="en-US"/>
        </w:rPr>
        <w:t>(2).</w:t>
      </w:r>
    </w:p>
    <w:p w14:paraId="58FD677F" w14:textId="77777777" w:rsidR="00313E13" w:rsidRDefault="00313E13" w:rsidP="0040478C">
      <w:pPr>
        <w:spacing w:after="200" w:line="276" w:lineRule="auto"/>
        <w:jc w:val="both"/>
        <w:rPr>
          <w:lang w:val="en-US"/>
        </w:rPr>
      </w:pPr>
    </w:p>
    <w:p w14:paraId="0C784FE7" w14:textId="78A31DDB" w:rsidR="00313E13" w:rsidRPr="009B1613" w:rsidRDefault="009B1613" w:rsidP="0040478C">
      <w:pPr>
        <w:spacing w:after="200" w:line="276" w:lineRule="auto"/>
        <w:jc w:val="both"/>
        <w:outlineLvl w:val="0"/>
        <w:rPr>
          <w:i/>
          <w:lang w:val="en-US"/>
        </w:rPr>
      </w:pPr>
      <w:r w:rsidRPr="009B1613">
        <w:rPr>
          <w:i/>
          <w:lang w:val="en-US"/>
        </w:rPr>
        <w:t xml:space="preserve">4.2.2 </w:t>
      </w:r>
      <w:r w:rsidR="00313E13" w:rsidRPr="009B1613">
        <w:rPr>
          <w:i/>
          <w:lang w:val="en-US"/>
        </w:rPr>
        <w:t xml:space="preserve">The tests </w:t>
      </w:r>
    </w:p>
    <w:p w14:paraId="7E9DFF72" w14:textId="3E1138DC" w:rsidR="00313E13" w:rsidRDefault="00313E13" w:rsidP="0040478C">
      <w:pPr>
        <w:spacing w:after="200" w:line="276" w:lineRule="auto"/>
        <w:jc w:val="both"/>
        <w:rPr>
          <w:lang w:val="en-US"/>
        </w:rPr>
      </w:pPr>
      <w:r>
        <w:rPr>
          <w:lang w:val="en-US"/>
        </w:rPr>
        <w:t xml:space="preserve">Given axes </w:t>
      </w:r>
      <w:r>
        <w:rPr>
          <w:lang w:val="en-US"/>
        </w:rPr>
        <w:sym w:font="Symbol" w:char="F0B1"/>
      </w:r>
      <w:proofErr w:type="gramStart"/>
      <w:r w:rsidRPr="00A83BBF">
        <w:rPr>
          <w:b/>
          <w:lang w:val="en-US"/>
        </w:rPr>
        <w:t>x</w:t>
      </w:r>
      <w:r w:rsidRPr="00A83BBF">
        <w:rPr>
          <w:b/>
          <w:vertAlign w:val="subscript"/>
          <w:lang w:val="en-US"/>
        </w:rPr>
        <w:t>1</w:t>
      </w:r>
      <w:r>
        <w:rPr>
          <w:lang w:val="en-US"/>
        </w:rPr>
        <w:t>, …</w:t>
      </w:r>
      <w:proofErr w:type="gramEnd"/>
      <w:r>
        <w:rPr>
          <w:lang w:val="en-US"/>
        </w:rPr>
        <w:t xml:space="preserve"> </w:t>
      </w:r>
      <w:r>
        <w:rPr>
          <w:lang w:val="en-US"/>
        </w:rPr>
        <w:sym w:font="Symbol" w:char="F0B1"/>
      </w:r>
      <w:proofErr w:type="spellStart"/>
      <w:r w:rsidRPr="00A83BBF">
        <w:rPr>
          <w:b/>
          <w:lang w:val="en-US"/>
        </w:rPr>
        <w:t>x</w:t>
      </w:r>
      <w:r w:rsidRPr="00A83BBF">
        <w:rPr>
          <w:b/>
          <w:vertAlign w:val="subscript"/>
          <w:lang w:val="en-US"/>
        </w:rPr>
        <w:t>n</w:t>
      </w:r>
      <w:proofErr w:type="spellEnd"/>
      <w:r>
        <w:rPr>
          <w:b/>
          <w:vertAlign w:val="subscript"/>
          <w:lang w:val="en-US"/>
        </w:rPr>
        <w:t xml:space="preserve"> </w:t>
      </w:r>
      <w:r w:rsidRPr="00F14CF5">
        <w:rPr>
          <w:lang w:val="en-US"/>
        </w:rPr>
        <w:t xml:space="preserve">we denote by </w:t>
      </w:r>
      <m:oMath>
        <m:r>
          <w:rPr>
            <w:rFonts w:ascii="Cambria Math" w:hAnsi="Cambria Math"/>
            <w:lang w:val="en-US"/>
          </w:rPr>
          <m:t>±</m:t>
        </m:r>
        <m:sSub>
          <m:sSubPr>
            <m:ctrlPr>
              <w:rPr>
                <w:rFonts w:ascii="Cambria Math" w:hAnsi="Cambria Math"/>
                <w:i/>
                <w:lang w:val="en-US"/>
              </w:rPr>
            </m:ctrlPr>
          </m:sSubPr>
          <m:e>
            <m:acc>
              <m:accPr>
                <m:ctrlPr>
                  <w:rPr>
                    <w:rFonts w:ascii="Cambria Math" w:hAnsi="Cambria Math"/>
                    <w:i/>
                    <w:lang w:val="en-US"/>
                  </w:rPr>
                </m:ctrlPr>
              </m:accPr>
              <m:e>
                <m:r>
                  <m:rPr>
                    <m:sty m:val="bi"/>
                  </m:rPr>
                  <w:rPr>
                    <w:rFonts w:ascii="Cambria Math" w:hAnsi="Cambria Math"/>
                    <w:lang w:val="en-US"/>
                  </w:rPr>
                  <m:t>ν</m:t>
                </m:r>
              </m:e>
            </m:acc>
          </m:e>
          <m:sub>
            <m:r>
              <w:rPr>
                <w:rFonts w:ascii="Cambria Math" w:hAnsi="Cambria Math"/>
                <w:lang w:val="en-US"/>
              </w:rPr>
              <m:t>1</m:t>
            </m:r>
          </m:sub>
        </m:sSub>
      </m:oMath>
      <w:r>
        <w:rPr>
          <w:lang w:val="en-US"/>
        </w:rPr>
        <w:t xml:space="preserve">and </w:t>
      </w:r>
      <m:oMath>
        <m:r>
          <w:rPr>
            <w:rFonts w:ascii="Cambria Math" w:hAnsi="Cambria Math"/>
            <w:lang w:val="en-US"/>
          </w:rPr>
          <m:t>±</m:t>
        </m:r>
        <m:sSub>
          <m:sSubPr>
            <m:ctrlPr>
              <w:rPr>
                <w:rFonts w:ascii="Cambria Math" w:hAnsi="Cambria Math"/>
                <w:b/>
                <w:i/>
                <w:lang w:val="en-US"/>
              </w:rPr>
            </m:ctrlPr>
          </m:sSubPr>
          <m:e>
            <m:acc>
              <m:accPr>
                <m:ctrlPr>
                  <w:rPr>
                    <w:rFonts w:ascii="Cambria Math" w:hAnsi="Cambria Math"/>
                    <w:b/>
                    <w:i/>
                    <w:lang w:val="en-US"/>
                  </w:rPr>
                </m:ctrlPr>
              </m:accPr>
              <m:e>
                <m:r>
                  <m:rPr>
                    <m:sty m:val="bi"/>
                  </m:rPr>
                  <w:rPr>
                    <w:rFonts w:ascii="Cambria Math" w:hAnsi="Cambria Math"/>
                    <w:lang w:val="en-US"/>
                  </w:rPr>
                  <m:t>ν</m:t>
                </m:r>
              </m:e>
            </m:acc>
          </m:e>
          <m:sub>
            <m:r>
              <m:rPr>
                <m:sty m:val="bi"/>
              </m:rPr>
              <w:rPr>
                <w:rFonts w:ascii="Cambria Math" w:hAnsi="Cambria Math"/>
                <w:lang w:val="en-US"/>
              </w:rPr>
              <m:t>3</m:t>
            </m:r>
          </m:sub>
        </m:sSub>
      </m:oMath>
      <w:r>
        <w:rPr>
          <w:lang w:val="en-US"/>
        </w:rPr>
        <w:t>, respectively</w:t>
      </w:r>
      <w:r w:rsidR="00381735">
        <w:rPr>
          <w:lang w:val="en-US"/>
        </w:rPr>
        <w:t>,</w:t>
      </w:r>
      <w:r>
        <w:rPr>
          <w:lang w:val="en-US"/>
        </w:rPr>
        <w:t xml:space="preserve"> the principal axes of the orientation </w:t>
      </w:r>
      <w:r w:rsidR="00381735">
        <w:rPr>
          <w:lang w:val="en-US"/>
        </w:rPr>
        <w:t>tensor</w:t>
      </w:r>
      <w:r w:rsidR="005C4CCA">
        <w:rPr>
          <w:lang w:val="en-US"/>
        </w:rPr>
        <w:t xml:space="preserve"> corresponding to the largest and smallest eigenvalues, </w:t>
      </w:r>
      <w:r w:rsidRPr="00AB1ECF">
        <w:rPr>
          <w:i/>
          <w:lang w:val="en-US"/>
        </w:rPr>
        <w:t>S</w:t>
      </w:r>
      <w:r w:rsidRPr="00AB1ECF">
        <w:rPr>
          <w:vertAlign w:val="subscript"/>
          <w:lang w:val="en-US"/>
        </w:rPr>
        <w:t>1</w:t>
      </w:r>
      <w:r>
        <w:rPr>
          <w:lang w:val="en-US"/>
        </w:rPr>
        <w:t xml:space="preserve"> and </w:t>
      </w:r>
      <w:r w:rsidRPr="00AB1ECF">
        <w:rPr>
          <w:i/>
          <w:lang w:val="en-US"/>
        </w:rPr>
        <w:t>S</w:t>
      </w:r>
      <w:r w:rsidRPr="00AB1ECF">
        <w:rPr>
          <w:vertAlign w:val="subscript"/>
          <w:lang w:val="en-US"/>
        </w:rPr>
        <w:t>3</w:t>
      </w:r>
      <w:r>
        <w:rPr>
          <w:lang w:val="en-US"/>
        </w:rPr>
        <w:t xml:space="preserve">. We can also define </w:t>
      </w:r>
    </w:p>
    <w:p w14:paraId="0E5DB0E7" w14:textId="50C57C90" w:rsidR="00313E13" w:rsidRDefault="009723D9" w:rsidP="009723D9">
      <w:pPr>
        <w:spacing w:after="200" w:line="276" w:lineRule="auto"/>
        <w:jc w:val="both"/>
        <w:rPr>
          <w:lang w:val="en-US"/>
        </w:rPr>
      </w:pPr>
      <w:r>
        <w:rPr>
          <w:lang w:val="en-US"/>
        </w:rPr>
        <w:tab/>
      </w:r>
      <m:oMath>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11</m:t>
            </m:r>
          </m:sub>
        </m:sSub>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-1</m:t>
            </m:r>
          </m:sup>
        </m:sSup>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p>
              <m:sSupPr>
                <m:ctrlPr>
                  <w:rPr>
                    <w:rFonts w:ascii="Cambria Math" w:hAnsi="Cambria Math"/>
                    <w:i/>
                    <w:lang w:val="en-US"/>
                  </w:rPr>
                </m:ctrlPr>
              </m:sSupPr>
              <m:e>
                <m:d>
                  <m:dPr>
                    <m:ctrlPr>
                      <w:rPr>
                        <w:rFonts w:ascii="Cambria Math" w:hAnsi="Cambria Math"/>
                        <w:i/>
                        <w:lang w:val="en-US"/>
                      </w:rPr>
                    </m:ctrlPr>
                  </m:dPr>
                  <m:e>
                    <m:sSubSup>
                      <m:sSubSupPr>
                        <m:ctrlPr>
                          <w:rPr>
                            <w:rFonts w:ascii="Cambria Math" w:hAnsi="Cambria Math"/>
                            <w:i/>
                            <w:lang w:val="en-US"/>
                          </w:rPr>
                        </m:ctrlPr>
                      </m:sSubSupPr>
                      <m:e>
                        <m:acc>
                          <m:accPr>
                            <m:ctrlPr>
                              <w:rPr>
                                <w:rFonts w:ascii="Cambria Math" w:hAnsi="Cambria Math"/>
                                <w:b/>
                                <w:i/>
                                <w:lang w:val="en-US"/>
                              </w:rPr>
                            </m:ctrlPr>
                          </m:accPr>
                          <m:e>
                            <m:r>
                              <m:rPr>
                                <m:sty m:val="bi"/>
                              </m:rPr>
                              <w:rPr>
                                <w:rFonts w:ascii="Cambria Math" w:hAnsi="Cambria Math"/>
                                <w:lang w:val="en-US"/>
                              </w:rPr>
                              <m:t>ν</m:t>
                            </m:r>
                          </m:e>
                        </m:acc>
                      </m:e>
                      <m:sub>
                        <m:r>
                          <w:rPr>
                            <w:rFonts w:ascii="Cambria Math" w:hAnsi="Cambria Math"/>
                            <w:lang w:val="en-US"/>
                          </w:rPr>
                          <m:t>1</m:t>
                        </m:r>
                      </m:sub>
                      <m:sup>
                        <m:r>
                          <w:rPr>
                            <w:rFonts w:ascii="Cambria Math" w:hAnsi="Cambria Math"/>
                            <w:lang w:val="en-US"/>
                          </w:rPr>
                          <m:t>'</m:t>
                        </m:r>
                      </m:sup>
                    </m:sSubSup>
                    <m:sSub>
                      <m:sSubPr>
                        <m:ctrlPr>
                          <w:rPr>
                            <w:rFonts w:ascii="Cambria Math" w:hAnsi="Cambria Math"/>
                            <w:i/>
                            <w:lang w:val="en-US"/>
                          </w:rPr>
                        </m:ctrlPr>
                      </m:sSubPr>
                      <m:e>
                        <m:r>
                          <m:rPr>
                            <m:sty m:val="b"/>
                          </m:rPr>
                          <w:rPr>
                            <w:rFonts w:ascii="Cambria Math" w:hAnsi="Cambria Math"/>
                            <w:lang w:val="en-US"/>
                          </w:rPr>
                          <m:t>x</m:t>
                        </m:r>
                      </m:e>
                      <m:sub>
                        <m:r>
                          <w:rPr>
                            <w:rFonts w:ascii="Cambria Math" w:hAnsi="Cambria Math"/>
                            <w:lang w:val="en-US"/>
                          </w:rPr>
                          <m:t>i</m:t>
                        </m:r>
                      </m:sub>
                    </m:sSub>
                  </m:e>
                </m:d>
              </m:e>
              <m:sup>
                <m:r>
                  <w:rPr>
                    <w:rFonts w:ascii="Cambria Math" w:hAnsi="Cambria Math"/>
                    <w:lang w:val="en-US"/>
                  </w:rPr>
                  <m:t>4</m:t>
                </m:r>
              </m:sup>
            </m:sSup>
          </m:e>
        </m:nary>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33</m:t>
            </m:r>
          </m:sub>
        </m:sSub>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-1</m:t>
            </m:r>
          </m:sup>
        </m:sSup>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p>
              <m:sSupPr>
                <m:ctrlPr>
                  <w:rPr>
                    <w:rFonts w:ascii="Cambria Math" w:hAnsi="Cambria Math"/>
                    <w:i/>
                    <w:lang w:val="en-US"/>
                  </w:rPr>
                </m:ctrlPr>
              </m:sSupPr>
              <m:e>
                <m:d>
                  <m:dPr>
                    <m:ctrlPr>
                      <w:rPr>
                        <w:rFonts w:ascii="Cambria Math" w:hAnsi="Cambria Math"/>
                        <w:i/>
                        <w:lang w:val="en-US"/>
                      </w:rPr>
                    </m:ctrlPr>
                  </m:dPr>
                  <m:e>
                    <m:sSubSup>
                      <m:sSubSupPr>
                        <m:ctrlPr>
                          <w:rPr>
                            <w:rFonts w:ascii="Cambria Math" w:hAnsi="Cambria Math"/>
                            <w:i/>
                            <w:lang w:val="en-US"/>
                          </w:rPr>
                        </m:ctrlPr>
                      </m:sSubSupPr>
                      <m:e>
                        <m:acc>
                          <m:accPr>
                            <m:ctrlPr>
                              <w:rPr>
                                <w:rFonts w:ascii="Cambria Math" w:hAnsi="Cambria Math"/>
                                <w:b/>
                                <w:i/>
                                <w:lang w:val="en-US"/>
                              </w:rPr>
                            </m:ctrlPr>
                          </m:accPr>
                          <m:e>
                            <m:r>
                              <m:rPr>
                                <m:sty m:val="bi"/>
                              </m:rPr>
                              <w:rPr>
                                <w:rFonts w:ascii="Cambria Math" w:hAnsi="Cambria Math"/>
                                <w:lang w:val="en-US"/>
                              </w:rPr>
                              <m:t>ν</m:t>
                            </m:r>
                          </m:e>
                        </m:acc>
                      </m:e>
                      <m:sub>
                        <m:r>
                          <w:rPr>
                            <w:rFonts w:ascii="Cambria Math" w:hAnsi="Cambria Math"/>
                            <w:lang w:val="en-US"/>
                          </w:rPr>
                          <m:t>3</m:t>
                        </m:r>
                      </m:sub>
                      <m:sup>
                        <m:r>
                          <w:rPr>
                            <w:rFonts w:ascii="Cambria Math" w:hAnsi="Cambria Math"/>
                            <w:lang w:val="en-US"/>
                          </w:rPr>
                          <m:t>'</m:t>
                        </m:r>
                      </m:sup>
                    </m:sSubSup>
                    <m:sSub>
                      <m:sSubPr>
                        <m:ctrlPr>
                          <w:rPr>
                            <w:rFonts w:ascii="Cambria Math" w:hAnsi="Cambria Math"/>
                            <w:i/>
                            <w:lang w:val="en-US"/>
                          </w:rPr>
                        </m:ctrlPr>
                      </m:sSubPr>
                      <m:e>
                        <m:r>
                          <m:rPr>
                            <m:sty m:val="b"/>
                          </m:rPr>
                          <w:rPr>
                            <w:rFonts w:ascii="Cambria Math" w:hAnsi="Cambria Math"/>
                            <w:lang w:val="en-US"/>
                          </w:rPr>
                          <m:t>x</m:t>
                        </m:r>
                      </m:e>
                      <m:sub>
                        <m:r>
                          <w:rPr>
                            <w:rFonts w:ascii="Cambria Math" w:hAnsi="Cambria Math"/>
                            <w:lang w:val="en-US"/>
                          </w:rPr>
                          <m:t>i</m:t>
                        </m:r>
                      </m:sub>
                    </m:sSub>
                  </m:e>
                </m:d>
              </m:e>
              <m:sup>
                <m:r>
                  <w:rPr>
                    <w:rFonts w:ascii="Cambria Math" w:hAnsi="Cambria Math"/>
                    <w:lang w:val="en-US"/>
                  </w:rPr>
                  <m:t>4</m:t>
                </m:r>
              </m:sup>
            </m:sSup>
          </m:e>
        </m:nary>
        <m:r>
          <w:rPr>
            <w:rFonts w:ascii="Cambria Math" w:hAnsi="Cambria Math"/>
            <w:lang w:val="en-US"/>
          </w:rPr>
          <m:t>.</m:t>
        </m:r>
      </m:oMath>
      <w:r w:rsidR="00313E13">
        <w:rPr>
          <w:lang w:val="en-US"/>
        </w:rPr>
        <w:t xml:space="preserve"> </w:t>
      </w:r>
    </w:p>
    <w:p w14:paraId="3B584464" w14:textId="04FC4262" w:rsidR="00313E13" w:rsidRDefault="00313E13" w:rsidP="0040478C">
      <w:pPr>
        <w:spacing w:after="200" w:line="276" w:lineRule="auto"/>
        <w:jc w:val="both"/>
        <w:rPr>
          <w:lang w:val="en-US"/>
        </w:rPr>
      </w:pPr>
      <w:r w:rsidRPr="00111172">
        <w:rPr>
          <w:i/>
          <w:lang w:val="en-US"/>
        </w:rPr>
        <w:t>S</w:t>
      </w:r>
      <w:r w:rsidRPr="006C3CFF">
        <w:rPr>
          <w:vertAlign w:val="subscript"/>
          <w:lang w:val="en-US"/>
        </w:rPr>
        <w:t>1</w:t>
      </w:r>
      <w:r>
        <w:rPr>
          <w:lang w:val="en-US"/>
        </w:rPr>
        <w:t xml:space="preserve"> and </w:t>
      </w:r>
      <w:r w:rsidR="005C4CCA" w:rsidRPr="00111172">
        <w:rPr>
          <w:i/>
          <w:lang w:val="en-US"/>
        </w:rPr>
        <w:t>S</w:t>
      </w:r>
      <w:r w:rsidR="005C4CCA">
        <w:rPr>
          <w:vertAlign w:val="subscript"/>
          <w:lang w:val="en-US"/>
        </w:rPr>
        <w:t>3</w:t>
      </w:r>
      <w:r w:rsidR="005C4CCA">
        <w:rPr>
          <w:lang w:val="en-US"/>
        </w:rPr>
        <w:t xml:space="preserve"> </w:t>
      </w:r>
      <w:r>
        <w:rPr>
          <w:lang w:val="en-US"/>
        </w:rPr>
        <w:t>are the 2</w:t>
      </w:r>
      <w:r w:rsidRPr="001869AE">
        <w:rPr>
          <w:vertAlign w:val="superscript"/>
          <w:lang w:val="en-US"/>
        </w:rPr>
        <w:t>nd</w:t>
      </w:r>
      <w:r>
        <w:rPr>
          <w:lang w:val="en-US"/>
        </w:rPr>
        <w:t xml:space="preserve"> moments of </w:t>
      </w:r>
      <w:r>
        <w:rPr>
          <w:lang w:val="en-US"/>
        </w:rPr>
        <w:sym w:font="Symbol" w:char="F0B1"/>
      </w:r>
      <w:proofErr w:type="gramStart"/>
      <w:r w:rsidRPr="00A83BBF">
        <w:rPr>
          <w:b/>
          <w:lang w:val="en-US"/>
        </w:rPr>
        <w:t>x</w:t>
      </w:r>
      <w:r w:rsidRPr="00A83BBF">
        <w:rPr>
          <w:b/>
          <w:vertAlign w:val="subscript"/>
          <w:lang w:val="en-US"/>
        </w:rPr>
        <w:t>1</w:t>
      </w:r>
      <w:r>
        <w:rPr>
          <w:lang w:val="en-US"/>
        </w:rPr>
        <w:t>, …</w:t>
      </w:r>
      <w:proofErr w:type="gramEnd"/>
      <w:r>
        <w:rPr>
          <w:lang w:val="en-US"/>
        </w:rPr>
        <w:t xml:space="preserve"> </w:t>
      </w:r>
      <w:r>
        <w:rPr>
          <w:lang w:val="en-US"/>
        </w:rPr>
        <w:sym w:font="Symbol" w:char="F0B1"/>
      </w:r>
      <w:proofErr w:type="spellStart"/>
      <w:r w:rsidRPr="00A83BBF">
        <w:rPr>
          <w:b/>
          <w:lang w:val="en-US"/>
        </w:rPr>
        <w:t>x</w:t>
      </w:r>
      <w:r w:rsidRPr="00A83BBF">
        <w:rPr>
          <w:b/>
          <w:vertAlign w:val="subscript"/>
          <w:lang w:val="en-US"/>
        </w:rPr>
        <w:t>n</w:t>
      </w:r>
      <w:proofErr w:type="spellEnd"/>
      <w:r>
        <w:rPr>
          <w:b/>
          <w:vertAlign w:val="subscript"/>
          <w:lang w:val="en-US"/>
        </w:rPr>
        <w:t xml:space="preserve"> </w:t>
      </w:r>
      <w:r>
        <w:rPr>
          <w:lang w:val="en-US"/>
        </w:rPr>
        <w:t>along the 1</w:t>
      </w:r>
      <w:r w:rsidRPr="001869AE">
        <w:rPr>
          <w:vertAlign w:val="superscript"/>
          <w:lang w:val="en-US"/>
        </w:rPr>
        <w:t>st</w:t>
      </w:r>
      <w:r>
        <w:rPr>
          <w:lang w:val="en-US"/>
        </w:rPr>
        <w:t xml:space="preserve"> and 3</w:t>
      </w:r>
      <w:r w:rsidRPr="001869AE">
        <w:rPr>
          <w:vertAlign w:val="superscript"/>
          <w:lang w:val="en-US"/>
        </w:rPr>
        <w:t>rd</w:t>
      </w:r>
      <w:r>
        <w:rPr>
          <w:lang w:val="en-US"/>
        </w:rPr>
        <w:t xml:space="preserve"> principal axes, respectively, whereas </w:t>
      </w:r>
      <w:r w:rsidRPr="00111172">
        <w:rPr>
          <w:i/>
          <w:lang w:val="en-US"/>
        </w:rPr>
        <w:t>S</w:t>
      </w:r>
      <w:r w:rsidRPr="006C3CFF">
        <w:rPr>
          <w:vertAlign w:val="subscript"/>
          <w:lang w:val="en-US"/>
        </w:rPr>
        <w:t>11</w:t>
      </w:r>
      <w:r>
        <w:rPr>
          <w:lang w:val="en-US"/>
        </w:rPr>
        <w:t xml:space="preserve"> and </w:t>
      </w:r>
      <w:r w:rsidRPr="00111172">
        <w:rPr>
          <w:i/>
          <w:lang w:val="en-US"/>
        </w:rPr>
        <w:t>S</w:t>
      </w:r>
      <w:r w:rsidRPr="004169D2">
        <w:rPr>
          <w:vertAlign w:val="subscript"/>
          <w:lang w:val="en-US"/>
        </w:rPr>
        <w:t>33</w:t>
      </w:r>
      <w:r>
        <w:rPr>
          <w:lang w:val="en-US"/>
        </w:rPr>
        <w:t xml:space="preserve"> are the 4</w:t>
      </w:r>
      <w:r w:rsidRPr="001869AE">
        <w:rPr>
          <w:vertAlign w:val="superscript"/>
          <w:lang w:val="en-US"/>
        </w:rPr>
        <w:t>th</w:t>
      </w:r>
      <w:r>
        <w:rPr>
          <w:lang w:val="en-US"/>
        </w:rPr>
        <w:t xml:space="preserve"> moments along these principal axes. Therefore, both </w:t>
      </w:r>
      <w:r w:rsidRPr="00111172">
        <w:rPr>
          <w:i/>
          <w:lang w:val="en-US"/>
        </w:rPr>
        <w:t>S</w:t>
      </w:r>
      <w:r w:rsidRPr="001A3E66">
        <w:rPr>
          <w:vertAlign w:val="subscript"/>
          <w:lang w:val="en-US"/>
        </w:rPr>
        <w:t>1</w:t>
      </w:r>
      <w:r>
        <w:rPr>
          <w:lang w:val="en-US"/>
        </w:rPr>
        <w:t xml:space="preserve"> – </w:t>
      </w:r>
      <w:r w:rsidRPr="00111172">
        <w:rPr>
          <w:i/>
          <w:lang w:val="en-US"/>
        </w:rPr>
        <w:t>S</w:t>
      </w:r>
      <w:r w:rsidRPr="001A3E66">
        <w:rPr>
          <w:vertAlign w:val="subscript"/>
          <w:lang w:val="en-US"/>
        </w:rPr>
        <w:t>3</w:t>
      </w:r>
      <w:r>
        <w:rPr>
          <w:lang w:val="en-US"/>
        </w:rPr>
        <w:t xml:space="preserve"> and </w:t>
      </w:r>
      <w:r w:rsidRPr="00111172">
        <w:rPr>
          <w:i/>
          <w:lang w:val="en-US"/>
        </w:rPr>
        <w:t>S</w:t>
      </w:r>
      <w:r w:rsidRPr="005C2C90">
        <w:rPr>
          <w:vertAlign w:val="subscript"/>
          <w:lang w:val="en-US"/>
        </w:rPr>
        <w:t>11</w:t>
      </w:r>
      <w:r>
        <w:rPr>
          <w:lang w:val="en-US"/>
        </w:rPr>
        <w:t xml:space="preserve"> – </w:t>
      </w:r>
      <w:r w:rsidRPr="00111172">
        <w:rPr>
          <w:i/>
          <w:lang w:val="en-US"/>
        </w:rPr>
        <w:t>S</w:t>
      </w:r>
      <w:r w:rsidRPr="005C6282">
        <w:rPr>
          <w:vertAlign w:val="subscript"/>
          <w:lang w:val="en-US"/>
        </w:rPr>
        <w:t>33</w:t>
      </w:r>
      <w:r>
        <w:rPr>
          <w:lang w:val="en-US"/>
        </w:rPr>
        <w:t xml:space="preserve"> are measures of anisotropy of </w:t>
      </w:r>
      <w:r>
        <w:rPr>
          <w:lang w:val="en-US"/>
        </w:rPr>
        <w:sym w:font="Symbol" w:char="F0B1"/>
      </w:r>
      <w:proofErr w:type="gramStart"/>
      <w:r w:rsidRPr="00A83BBF">
        <w:rPr>
          <w:b/>
          <w:lang w:val="en-US"/>
        </w:rPr>
        <w:t>x</w:t>
      </w:r>
      <w:r w:rsidRPr="00A83BBF">
        <w:rPr>
          <w:b/>
          <w:vertAlign w:val="subscript"/>
          <w:lang w:val="en-US"/>
        </w:rPr>
        <w:t>1</w:t>
      </w:r>
      <w:r>
        <w:rPr>
          <w:lang w:val="en-US"/>
        </w:rPr>
        <w:t>, …</w:t>
      </w:r>
      <w:proofErr w:type="gramEnd"/>
      <w:r>
        <w:rPr>
          <w:lang w:val="en-US"/>
        </w:rPr>
        <w:t xml:space="preserve"> </w:t>
      </w:r>
      <w:r>
        <w:rPr>
          <w:lang w:val="en-US"/>
        </w:rPr>
        <w:sym w:font="Symbol" w:char="F0B1"/>
      </w:r>
      <w:proofErr w:type="spellStart"/>
      <w:r w:rsidRPr="00A83BBF">
        <w:rPr>
          <w:b/>
          <w:lang w:val="en-US"/>
        </w:rPr>
        <w:t>x</w:t>
      </w:r>
      <w:r w:rsidRPr="00A83BBF">
        <w:rPr>
          <w:b/>
          <w:vertAlign w:val="subscript"/>
          <w:lang w:val="en-US"/>
        </w:rPr>
        <w:t>n</w:t>
      </w:r>
      <w:proofErr w:type="spellEnd"/>
      <w:r w:rsidRPr="001869AE">
        <w:rPr>
          <w:lang w:val="en-US"/>
        </w:rPr>
        <w:t>.</w:t>
      </w:r>
    </w:p>
    <w:p w14:paraId="4BD18E72" w14:textId="1E8CA685" w:rsidR="009723D9" w:rsidRDefault="009723D9" w:rsidP="009723D9">
      <w:pPr>
        <w:spacing w:after="200" w:line="276" w:lineRule="auto"/>
        <w:jc w:val="both"/>
        <w:rPr>
          <w:lang w:val="en-US"/>
        </w:rPr>
      </w:pPr>
      <w:r>
        <w:rPr>
          <w:lang w:val="en-US"/>
        </w:rPr>
        <w:t>Some algebra shows that</w:t>
      </w:r>
    </w:p>
    <w:p w14:paraId="14C301CE" w14:textId="421FCD36" w:rsidR="00313E13" w:rsidRPr="00E10DF2" w:rsidRDefault="009920E2" w:rsidP="00E10DF2">
      <w:pPr>
        <w:spacing w:after="200" w:line="276" w:lineRule="auto"/>
        <w:ind w:left="720" w:firstLine="720"/>
        <w:jc w:val="both"/>
        <w:rPr>
          <w:lang w:val="en-US"/>
        </w:rPr>
      </w:pPr>
      <m:oMathPara>
        <m:oMathParaPr>
          <m:jc m:val="left"/>
        </m:oMathParaPr>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3</m:t>
              </m:r>
            </m:sub>
          </m:sSub>
          <m:r>
            <w:rPr>
              <w:rFonts w:ascii="Cambria Math" w:hAnsi="Cambria Math"/>
              <w:lang w:val="en-US"/>
            </w:rPr>
            <m:t>=</m:t>
          </m:r>
          <m:func>
            <m:funcPr>
              <m:ctrlPr>
                <w:rPr>
                  <w:rFonts w:ascii="Cambria Math" w:hAnsi="Cambria Math"/>
                  <w:lang w:val="en-US"/>
                </w:rPr>
              </m:ctrlPr>
            </m:funcPr>
            <m:fName>
              <m:r>
                <m:rPr>
                  <m:sty m:val="p"/>
                </m:rPr>
                <w:rPr>
                  <w:rFonts w:ascii="Cambria Math" w:hAnsi="Cambria Math"/>
                  <w:lang w:val="en-US"/>
                </w:rPr>
                <m:t>cos</m:t>
              </m:r>
              <m:ctrlPr>
                <w:rPr>
                  <w:rFonts w:ascii="Cambria Math" w:hAnsi="Cambria Math"/>
                  <w:i/>
                  <w:lang w:val="en-US"/>
                </w:rPr>
              </m:ctrlPr>
            </m:fName>
            <m:e>
              <m:d>
                <m:dPr>
                  <m:ctrlPr>
                    <w:rPr>
                      <w:rFonts w:ascii="Cambria Math" w:hAnsi="Cambria Math"/>
                      <w:i/>
                      <w:lang w:val="en-US"/>
                    </w:rPr>
                  </m:ctrlPr>
                </m:dPr>
                <m:e>
                  <m:r>
                    <w:rPr>
                      <w:rFonts w:ascii="Cambria Math" w:hAnsi="Cambria Math"/>
                      <w:lang w:val="en-US"/>
                    </w:rPr>
                    <m:t>γ</m:t>
                  </m:r>
                </m:e>
              </m:d>
            </m:e>
          </m:func>
          <m:d>
            <m:dPr>
              <m:begChr m:val="{"/>
              <m:endChr m:val="}"/>
              <m:ctrlPr>
                <w:rPr>
                  <w:rFonts w:ascii="Cambria Math" w:hAnsi="Cambria Math"/>
                  <w:i/>
                  <w:lang w:val="en-US"/>
                </w:rPr>
              </m:ctrlPr>
            </m:dPr>
            <m:e>
              <m:r>
                <w:rPr>
                  <w:rFonts w:ascii="Cambria Math" w:hAnsi="Cambria Math"/>
                  <w:lang w:val="en-US"/>
                </w:rPr>
                <m:t>E</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e>
              </m:d>
              <m:r>
                <w:rPr>
                  <w:rFonts w:ascii="Cambria Math" w:hAnsi="Cambria Math"/>
                  <w:lang w:val="en-US"/>
                </w:rPr>
                <m:t>-E</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ν</m:t>
                      </m:r>
                    </m:e>
                    <m:sup>
                      <m:r>
                        <w:rPr>
                          <w:rFonts w:ascii="Cambria Math" w:hAnsi="Cambria Math"/>
                          <w:lang w:val="en-US"/>
                        </w:rPr>
                        <m:t>2</m:t>
                      </m:r>
                    </m:sup>
                  </m:sSup>
                </m:e>
              </m:d>
            </m:e>
          </m:d>
          <m:r>
            <w:rPr>
              <w:rFonts w:ascii="Cambria Math" w:hAnsi="Cambria Math"/>
              <w:lang w:val="en-US"/>
            </w:rPr>
            <m:t>,          (4)</m:t>
          </m:r>
        </m:oMath>
      </m:oMathPara>
    </w:p>
    <w:p w14:paraId="013C0C62" w14:textId="2074B376" w:rsidR="00E10DF2" w:rsidRDefault="00313E13" w:rsidP="0040478C">
      <w:pPr>
        <w:spacing w:after="200" w:line="276" w:lineRule="auto"/>
        <w:jc w:val="both"/>
        <w:rPr>
          <w:lang w:val="en-US"/>
        </w:rPr>
      </w:pPr>
      <w:proofErr w:type="gramStart"/>
      <w:r>
        <w:rPr>
          <w:lang w:val="en-US"/>
        </w:rPr>
        <w:t>where</w:t>
      </w:r>
      <w:proofErr w:type="gramEnd"/>
      <w:r>
        <w:rPr>
          <w:lang w:val="en-US"/>
        </w:rPr>
        <w:t xml:space="preserve"> </w:t>
      </w:r>
      <w:r w:rsidRPr="00C145C1">
        <w:rPr>
          <w:rFonts w:ascii="Symbol" w:hAnsi="Symbol"/>
          <w:i/>
          <w:lang w:val="en-US"/>
        </w:rPr>
        <w:t></w:t>
      </w:r>
      <w:r w:rsidRPr="00C145C1">
        <w:rPr>
          <w:vertAlign w:val="subscript"/>
          <w:lang w:val="en-US"/>
        </w:rPr>
        <w:t>1</w:t>
      </w:r>
      <w:r>
        <w:rPr>
          <w:lang w:val="en-US"/>
        </w:rPr>
        <w:t xml:space="preserve"> and </w:t>
      </w:r>
      <w:r w:rsidRPr="00C145C1">
        <w:rPr>
          <w:rFonts w:ascii="Symbol" w:hAnsi="Symbol"/>
          <w:i/>
          <w:lang w:val="en-US"/>
        </w:rPr>
        <w:t></w:t>
      </w:r>
      <w:r w:rsidRPr="00C145C1">
        <w:rPr>
          <w:vertAlign w:val="subscript"/>
          <w:lang w:val="en-US"/>
        </w:rPr>
        <w:t>3</w:t>
      </w:r>
      <w:r>
        <w:rPr>
          <w:lang w:val="en-US"/>
        </w:rPr>
        <w:t xml:space="preserve"> are the population versions of </w:t>
      </w:r>
      <w:r w:rsidRPr="00C145C1">
        <w:rPr>
          <w:i/>
          <w:lang w:val="en-US"/>
        </w:rPr>
        <w:t>S</w:t>
      </w:r>
      <w:r w:rsidRPr="00C145C1">
        <w:rPr>
          <w:vertAlign w:val="subscript"/>
          <w:lang w:val="en-US"/>
        </w:rPr>
        <w:t>1</w:t>
      </w:r>
      <w:r>
        <w:rPr>
          <w:lang w:val="en-US"/>
        </w:rPr>
        <w:t xml:space="preserve"> and </w:t>
      </w:r>
      <w:r w:rsidRPr="00C145C1">
        <w:rPr>
          <w:i/>
          <w:lang w:val="en-US"/>
        </w:rPr>
        <w:t>S</w:t>
      </w:r>
      <w:r w:rsidRPr="00C145C1">
        <w:rPr>
          <w:vertAlign w:val="subscript"/>
          <w:lang w:val="en-US"/>
        </w:rPr>
        <w:t>3</w:t>
      </w:r>
      <w:r>
        <w:rPr>
          <w:lang w:val="en-US"/>
        </w:rPr>
        <w:t xml:space="preserve">, respectively, and </w:t>
      </w:r>
      <m:oMath>
        <m:r>
          <w:rPr>
            <w:rFonts w:ascii="Cambria Math" w:hAnsi="Cambria Math"/>
            <w:lang w:val="en-US"/>
          </w:rPr>
          <m:t>±x</m:t>
        </m:r>
      </m:oMath>
      <w:r>
        <w:rPr>
          <w:lang w:val="en-US"/>
        </w:rPr>
        <w:t xml:space="preserve"> and </w:t>
      </w:r>
      <m:oMath>
        <m:r>
          <w:rPr>
            <w:rFonts w:ascii="Cambria Math" w:hAnsi="Cambria Math"/>
            <w:lang w:val="en-US"/>
          </w:rPr>
          <m:t>±ν</m:t>
        </m:r>
      </m:oMath>
      <w:r>
        <w:rPr>
          <w:lang w:val="en-US"/>
        </w:rPr>
        <w:t xml:space="preserve"> are the components of </w:t>
      </w:r>
      <m:oMath>
        <m:r>
          <w:rPr>
            <w:rFonts w:ascii="Cambria Math" w:hAnsi="Cambria Math"/>
            <w:lang w:val="en-US"/>
          </w:rPr>
          <m:t>±</m:t>
        </m:r>
        <m:r>
          <m:rPr>
            <m:sty m:val="b"/>
          </m:rPr>
          <w:rPr>
            <w:rFonts w:ascii="Cambria Math" w:hAnsi="Cambria Math"/>
            <w:lang w:val="en-US"/>
          </w:rPr>
          <m:t>x</m:t>
        </m:r>
      </m:oMath>
      <w:r>
        <w:rPr>
          <w:b/>
          <w:lang w:val="en-US"/>
        </w:rPr>
        <w:t xml:space="preserve"> </w:t>
      </w:r>
      <w:r>
        <w:rPr>
          <w:lang w:val="en-US"/>
        </w:rPr>
        <w:t xml:space="preserve">in the </w:t>
      </w:r>
      <w:proofErr w:type="spellStart"/>
      <w:r>
        <w:rPr>
          <w:lang w:val="en-US"/>
        </w:rPr>
        <w:t>quadrimodal</w:t>
      </w:r>
      <w:proofErr w:type="spellEnd"/>
      <w:r>
        <w:rPr>
          <w:lang w:val="en-US"/>
        </w:rPr>
        <w:t xml:space="preserve"> equal mixture model </w:t>
      </w:r>
      <w:r w:rsidR="00BA7071">
        <w:rPr>
          <w:lang w:val="en-US"/>
        </w:rPr>
        <w:t xml:space="preserve">Eq. </w:t>
      </w:r>
      <w:r>
        <w:rPr>
          <w:lang w:val="en-US"/>
        </w:rPr>
        <w:t>(2) along its 1</w:t>
      </w:r>
      <w:r w:rsidRPr="00C145C1">
        <w:rPr>
          <w:vertAlign w:val="superscript"/>
          <w:lang w:val="en-US"/>
        </w:rPr>
        <w:t>st</w:t>
      </w:r>
      <w:r>
        <w:rPr>
          <w:lang w:val="en-US"/>
        </w:rPr>
        <w:t xml:space="preserve"> and 3</w:t>
      </w:r>
      <w:r w:rsidRPr="00C145C1">
        <w:rPr>
          <w:vertAlign w:val="superscript"/>
          <w:lang w:val="en-US"/>
        </w:rPr>
        <w:t>rd</w:t>
      </w:r>
      <w:r>
        <w:rPr>
          <w:lang w:val="en-US"/>
        </w:rPr>
        <w:t xml:space="preserve"> principal axes, respectively. Then </w:t>
      </w:r>
      <w:r w:rsidR="00BA7071">
        <w:rPr>
          <w:lang w:val="en-US"/>
        </w:rPr>
        <w:t xml:space="preserve">Eq. </w:t>
      </w:r>
      <w:r>
        <w:rPr>
          <w:lang w:val="en-US"/>
        </w:rPr>
        <w:t>(4) gives</w:t>
      </w:r>
    </w:p>
    <w:p w14:paraId="05B71FC5" w14:textId="3FD59EDB" w:rsidR="00313E13" w:rsidRPr="00E10DF2" w:rsidRDefault="009920E2" w:rsidP="00E10DF2">
      <w:pPr>
        <w:spacing w:after="200" w:line="276" w:lineRule="auto"/>
        <w:ind w:left="720" w:firstLine="720"/>
        <w:jc w:val="both"/>
        <w:rPr>
          <w:lang w:val="en-US"/>
        </w:rPr>
      </w:pPr>
      <m:oMathPara>
        <m:oMathParaPr>
          <m:jc m:val="left"/>
        </m:oMathParaPr>
        <m:oMath>
          <m:func>
            <m:funcPr>
              <m:ctrlPr>
                <w:rPr>
                  <w:rFonts w:ascii="Cambria Math" w:hAnsi="Cambria Math"/>
                  <w:i/>
                  <w:lang w:val="en-US"/>
                </w:rPr>
              </m:ctrlPr>
            </m:funcPr>
            <m:fName>
              <m:r>
                <m:rPr>
                  <m:sty m:val="p"/>
                </m:rPr>
                <w:rPr>
                  <w:rFonts w:ascii="Cambria Math" w:hAnsi="Cambria Math"/>
                  <w:lang w:val="en-US"/>
                </w:rPr>
                <m:t>cos</m:t>
              </m:r>
            </m:fName>
            <m:e>
              <m:d>
                <m:dPr>
                  <m:ctrlPr>
                    <w:rPr>
                      <w:rFonts w:ascii="Cambria Math" w:hAnsi="Cambria Math"/>
                      <w:i/>
                      <w:lang w:val="en-US"/>
                    </w:rPr>
                  </m:ctrlPr>
                </m:dPr>
                <m:e>
                  <m:r>
                    <w:rPr>
                      <w:rFonts w:ascii="Cambria Math" w:hAnsi="Cambria Math"/>
                      <w:lang w:val="en-US"/>
                    </w:rPr>
                    <m:t>γ</m:t>
                  </m:r>
                </m:e>
              </m:d>
            </m:e>
          </m:func>
          <m:r>
            <w:rPr>
              <w:rFonts w:ascii="Cambria Math" w:hAnsi="Cambria Math"/>
              <w:lang w:val="en-US"/>
            </w:rPr>
            <m:t xml:space="preserve">≈ </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3</m:t>
                  </m:r>
                </m:sub>
              </m:sSub>
            </m:num>
            <m:den>
              <m:r>
                <w:rPr>
                  <w:rFonts w:ascii="Cambria Math" w:hAnsi="Cambria Math"/>
                  <w:lang w:val="en-US"/>
                </w:rPr>
                <m:t>E</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e>
              </m:d>
              <m:r>
                <w:rPr>
                  <w:rFonts w:ascii="Cambria Math" w:hAnsi="Cambria Math"/>
                  <w:lang w:val="en-US"/>
                </w:rPr>
                <m:t>-E</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ν</m:t>
                      </m:r>
                    </m:e>
                    <m:sup>
                      <m:r>
                        <w:rPr>
                          <w:rFonts w:ascii="Cambria Math" w:hAnsi="Cambria Math"/>
                          <w:lang w:val="en-US"/>
                        </w:rPr>
                        <m:t>2</m:t>
                      </m:r>
                    </m:sup>
                  </m:sSup>
                </m:e>
              </m:d>
            </m:den>
          </m:f>
          <m:r>
            <w:rPr>
              <w:rFonts w:ascii="Cambria Math" w:hAnsi="Cambria Math"/>
              <w:lang w:val="en-US"/>
            </w:rPr>
            <m:t xml:space="preserve"> </m:t>
          </m:r>
        </m:oMath>
      </m:oMathPara>
    </w:p>
    <w:p w14:paraId="746FE149" w14:textId="6FF33DEA" w:rsidR="009723D9" w:rsidRDefault="00313E13" w:rsidP="0040478C">
      <w:pPr>
        <w:spacing w:after="200" w:line="276" w:lineRule="auto"/>
        <w:jc w:val="both"/>
        <w:rPr>
          <w:lang w:val="en-US"/>
        </w:rPr>
      </w:pPr>
      <w:proofErr w:type="gramStart"/>
      <w:r>
        <w:rPr>
          <w:lang w:val="en-US"/>
        </w:rPr>
        <w:t>and</w:t>
      </w:r>
      <w:proofErr w:type="gramEnd"/>
      <w:r>
        <w:rPr>
          <w:lang w:val="en-US"/>
        </w:rPr>
        <w:t xml:space="preserve"> </w:t>
      </w:r>
      <w:r w:rsidR="00671F12">
        <w:rPr>
          <w:lang w:val="en-US"/>
        </w:rPr>
        <w:t>therefore,</w:t>
      </w:r>
      <w:r>
        <w:rPr>
          <w:lang w:val="en-US"/>
        </w:rPr>
        <w:t xml:space="preserve"> it is sensible to</w:t>
      </w:r>
      <w:r w:rsidR="00236A32">
        <w:rPr>
          <w:lang w:val="en-US"/>
        </w:rPr>
        <w:t>:</w:t>
      </w:r>
      <w:r>
        <w:rPr>
          <w:lang w:val="en-US"/>
        </w:rPr>
        <w:t xml:space="preserve"> </w:t>
      </w:r>
    </w:p>
    <w:p w14:paraId="5D4A816F" w14:textId="4B43B9E6" w:rsidR="00313E13" w:rsidRDefault="00313E13" w:rsidP="00E10DF2">
      <w:pPr>
        <w:spacing w:after="200" w:line="276" w:lineRule="auto"/>
        <w:ind w:firstLine="720"/>
        <w:jc w:val="both"/>
        <w:rPr>
          <w:lang w:val="en-US"/>
        </w:rPr>
      </w:pPr>
      <w:proofErr w:type="gramStart"/>
      <w:r w:rsidRPr="009723D9">
        <w:rPr>
          <w:lang w:val="en-US"/>
        </w:rPr>
        <w:t>reject</w:t>
      </w:r>
      <w:proofErr w:type="gramEnd"/>
      <w:r w:rsidRPr="009723D9">
        <w:rPr>
          <w:lang w:val="en-US"/>
        </w:rPr>
        <w:t xml:space="preserve"> bimodality for </w:t>
      </w:r>
      <w:r w:rsidRPr="009723D9">
        <w:rPr>
          <w:i/>
          <w:lang w:val="en-US"/>
        </w:rPr>
        <w:t>small</w:t>
      </w:r>
      <w:r w:rsidRPr="009723D9">
        <w:rPr>
          <w:lang w:val="en-US"/>
        </w:rPr>
        <w:t xml:space="preserve"> values of </w:t>
      </w:r>
      <w:r w:rsidRPr="009723D9">
        <w:rPr>
          <w:i/>
          <w:lang w:val="en-US"/>
        </w:rPr>
        <w:t>S</w:t>
      </w:r>
      <w:r w:rsidRPr="009723D9">
        <w:rPr>
          <w:vertAlign w:val="subscript"/>
          <w:lang w:val="en-US"/>
        </w:rPr>
        <w:t>1</w:t>
      </w:r>
      <w:r w:rsidRPr="009723D9">
        <w:rPr>
          <w:lang w:val="en-US"/>
        </w:rPr>
        <w:t xml:space="preserve"> – </w:t>
      </w:r>
      <w:r w:rsidRPr="009723D9">
        <w:rPr>
          <w:i/>
          <w:lang w:val="en-US"/>
        </w:rPr>
        <w:t>S</w:t>
      </w:r>
      <w:r w:rsidRPr="009723D9">
        <w:rPr>
          <w:vertAlign w:val="subscript"/>
          <w:lang w:val="en-US"/>
        </w:rPr>
        <w:t>3</w:t>
      </w:r>
      <w:r w:rsidR="008403EA">
        <w:rPr>
          <w:lang w:val="en-US"/>
        </w:rPr>
        <w:t xml:space="preserve">. </w:t>
      </w:r>
      <w:r w:rsidR="00160CDC">
        <w:rPr>
          <w:lang w:val="en-US"/>
        </w:rPr>
        <w:tab/>
      </w:r>
      <w:r w:rsidR="008403EA">
        <w:rPr>
          <w:lang w:val="en-US"/>
        </w:rPr>
        <w:t>(5)</w:t>
      </w:r>
      <w:r>
        <w:rPr>
          <w:b/>
          <w:lang w:val="en-US"/>
        </w:rPr>
        <w:t xml:space="preserve"> </w:t>
      </w:r>
    </w:p>
    <w:p w14:paraId="3C5E39B6" w14:textId="77777777" w:rsidR="00E10DF2" w:rsidRDefault="00313E13" w:rsidP="0040478C">
      <w:pPr>
        <w:spacing w:after="200" w:line="276" w:lineRule="auto"/>
        <w:jc w:val="both"/>
        <w:rPr>
          <w:lang w:val="en-US"/>
        </w:rPr>
      </w:pPr>
      <w:r>
        <w:rPr>
          <w:lang w:val="en-US"/>
        </w:rPr>
        <w:t>Further algebra shows that</w:t>
      </w:r>
    </w:p>
    <w:p w14:paraId="59E6D8A3" w14:textId="3A401AD1" w:rsidR="00313E13" w:rsidRPr="00E10DF2" w:rsidRDefault="009920E2" w:rsidP="00E63192">
      <w:pPr>
        <w:spacing w:after="200" w:line="276" w:lineRule="auto"/>
        <w:ind w:firstLine="720"/>
        <w:jc w:val="both"/>
        <w:rPr>
          <w:lang w:val="en-US"/>
        </w:rPr>
      </w:pPr>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11</m:t>
            </m:r>
          </m:sub>
        </m:sSub>
        <m:r>
          <w:rPr>
            <w:rFonts w:ascii="Cambria Math" w:hAnsi="Cambria Math"/>
            <w:lang w:val="en-US"/>
          </w:rPr>
          <m:t xml:space="preserve">- </m:t>
        </m:r>
        <m:sSub>
          <m:sSubPr>
            <m:ctrlPr>
              <w:rPr>
                <w:rFonts w:ascii="Cambria Math" w:hAnsi="Cambria Math"/>
                <w:lang w:val="en-US"/>
              </w:rPr>
            </m:ctrlPr>
          </m:sSubPr>
          <m:e>
            <m:r>
              <w:rPr>
                <w:rFonts w:ascii="Cambria Math" w:hAnsi="Cambria Math"/>
                <w:lang w:val="en-US"/>
              </w:rPr>
              <m:t>Τ</m:t>
            </m:r>
          </m:e>
          <m:sub>
            <m:r>
              <m:rPr>
                <m:sty m:val="p"/>
              </m:rPr>
              <w:rPr>
                <w:rFonts w:ascii="Cambria Math" w:hAnsi="Cambria Math"/>
                <w:lang w:val="en-US"/>
              </w:rPr>
              <m:t>33</m:t>
            </m:r>
          </m:sub>
        </m:sSub>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cos</m:t>
            </m:r>
          </m:fName>
          <m:e>
            <m:d>
              <m:dPr>
                <m:ctrlPr>
                  <w:rPr>
                    <w:rFonts w:ascii="Cambria Math" w:hAnsi="Cambria Math"/>
                    <w:i/>
                    <w:lang w:val="en-US"/>
                  </w:rPr>
                </m:ctrlPr>
              </m:dPr>
              <m:e>
                <m:r>
                  <w:rPr>
                    <w:rFonts w:ascii="Cambria Math" w:hAnsi="Cambria Math"/>
                    <w:lang w:val="en-US"/>
                  </w:rPr>
                  <m:t>γ</m:t>
                </m:r>
              </m:e>
            </m:d>
          </m:e>
        </m:func>
        <m:d>
          <m:dPr>
            <m:begChr m:val="{"/>
            <m:endChr m:val="}"/>
            <m:ctrlPr>
              <w:rPr>
                <w:rFonts w:ascii="Cambria Math" w:hAnsi="Cambria Math"/>
                <w:i/>
                <w:lang w:val="en-US"/>
              </w:rPr>
            </m:ctrlPr>
          </m:dPr>
          <m:e>
            <m:r>
              <w:rPr>
                <w:rFonts w:ascii="Cambria Math" w:hAnsi="Cambria Math"/>
                <w:lang w:val="en-US"/>
              </w:rPr>
              <m:t>E</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4</m:t>
                    </m:r>
                  </m:sup>
                </m:sSup>
              </m:e>
            </m:d>
            <m:r>
              <w:rPr>
                <w:rFonts w:ascii="Cambria Math" w:hAnsi="Cambria Math"/>
                <w:lang w:val="en-US"/>
              </w:rPr>
              <m:t>-E</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ν</m:t>
                    </m:r>
                  </m:e>
                  <m:sup>
                    <m:r>
                      <w:rPr>
                        <w:rFonts w:ascii="Cambria Math" w:hAnsi="Cambria Math"/>
                        <w:lang w:val="en-US"/>
                      </w:rPr>
                      <m:t>4</m:t>
                    </m:r>
                  </m:sup>
                </m:sSup>
              </m:e>
            </m:d>
          </m:e>
        </m:d>
        <m:r>
          <w:rPr>
            <w:rFonts w:ascii="Cambria Math" w:hAnsi="Cambria Math"/>
            <w:lang w:val="en-US"/>
          </w:rPr>
          <m:t>,</m:t>
        </m:r>
      </m:oMath>
      <w:r w:rsidR="0038678C">
        <w:rPr>
          <w:lang w:val="en-US"/>
        </w:rPr>
        <w:t xml:space="preserve"> </w:t>
      </w:r>
      <w:r w:rsidR="0038678C">
        <w:rPr>
          <w:lang w:val="en-US"/>
        </w:rPr>
        <w:tab/>
      </w:r>
      <w:r w:rsidR="007F6314">
        <w:rPr>
          <w:lang w:val="en-US"/>
        </w:rPr>
        <w:tab/>
      </w:r>
      <w:r w:rsidR="0038678C">
        <w:rPr>
          <w:lang w:val="en-US"/>
        </w:rPr>
        <w:t>(6)</w:t>
      </w:r>
    </w:p>
    <w:p w14:paraId="0811CE6B" w14:textId="73EF703F" w:rsidR="00313E13" w:rsidRDefault="00313E13" w:rsidP="0040478C">
      <w:pPr>
        <w:spacing w:after="200" w:line="276" w:lineRule="auto"/>
        <w:jc w:val="both"/>
        <w:rPr>
          <w:lang w:val="en-US"/>
        </w:rPr>
      </w:pPr>
      <w:proofErr w:type="gramStart"/>
      <w:r>
        <w:rPr>
          <w:lang w:val="en-US"/>
        </w:rPr>
        <w:t>where</w:t>
      </w:r>
      <w:proofErr w:type="gramEnd"/>
      <w:r>
        <w:rPr>
          <w:lang w:val="en-US"/>
        </w:rPr>
        <w:t xml:space="preserve"> </w:t>
      </w:r>
      <w:r w:rsidRPr="000879F1">
        <w:rPr>
          <w:rFonts w:ascii="Symbol" w:hAnsi="Symbol"/>
          <w:i/>
          <w:lang w:val="en-US"/>
        </w:rPr>
        <w:t></w:t>
      </w:r>
      <w:r w:rsidRPr="000879F1">
        <w:rPr>
          <w:vertAlign w:val="subscript"/>
          <w:lang w:val="en-US"/>
        </w:rPr>
        <w:t>11</w:t>
      </w:r>
      <w:r>
        <w:rPr>
          <w:lang w:val="en-US"/>
        </w:rPr>
        <w:t xml:space="preserve"> and </w:t>
      </w:r>
      <w:r w:rsidRPr="000879F1">
        <w:rPr>
          <w:rFonts w:ascii="Symbol" w:hAnsi="Symbol"/>
          <w:i/>
          <w:lang w:val="en-US"/>
        </w:rPr>
        <w:t></w:t>
      </w:r>
      <w:r w:rsidRPr="000879F1">
        <w:rPr>
          <w:vertAlign w:val="subscript"/>
          <w:lang w:val="en-US"/>
        </w:rPr>
        <w:t>33</w:t>
      </w:r>
      <w:r>
        <w:rPr>
          <w:lang w:val="en-US"/>
        </w:rPr>
        <w:t xml:space="preserve"> are the population versions of </w:t>
      </w:r>
      <w:r w:rsidRPr="00FF79D5">
        <w:rPr>
          <w:i/>
          <w:lang w:val="en-US"/>
        </w:rPr>
        <w:t>S</w:t>
      </w:r>
      <w:r w:rsidRPr="00FF79D5">
        <w:rPr>
          <w:vertAlign w:val="subscript"/>
          <w:lang w:val="en-US"/>
        </w:rPr>
        <w:t>11</w:t>
      </w:r>
      <w:r>
        <w:rPr>
          <w:lang w:val="en-US"/>
        </w:rPr>
        <w:t xml:space="preserve"> and </w:t>
      </w:r>
      <w:r w:rsidRPr="00A878EA">
        <w:rPr>
          <w:i/>
          <w:lang w:val="en-US"/>
        </w:rPr>
        <w:t>S</w:t>
      </w:r>
      <w:r w:rsidRPr="00A878EA">
        <w:rPr>
          <w:vertAlign w:val="subscript"/>
          <w:lang w:val="en-US"/>
        </w:rPr>
        <w:t>33</w:t>
      </w:r>
      <w:r>
        <w:rPr>
          <w:lang w:val="en-US"/>
        </w:rPr>
        <w:t xml:space="preserve">, respectively. Then </w:t>
      </w:r>
      <w:r w:rsidR="00BA7071">
        <w:rPr>
          <w:lang w:val="en-US"/>
        </w:rPr>
        <w:t xml:space="preserve">Eq. </w:t>
      </w:r>
      <w:r>
        <w:rPr>
          <w:lang w:val="en-US"/>
        </w:rPr>
        <w:t xml:space="preserve">(6) gives </w:t>
      </w:r>
    </w:p>
    <w:p w14:paraId="2E28933F" w14:textId="77777777" w:rsidR="00313E13" w:rsidRPr="00E10DF2" w:rsidRDefault="009920E2" w:rsidP="00E10DF2">
      <w:pPr>
        <w:spacing w:after="200" w:line="276" w:lineRule="auto"/>
        <w:ind w:left="720" w:firstLine="720"/>
        <w:jc w:val="both"/>
        <w:rPr>
          <w:lang w:val="en-US"/>
        </w:rPr>
      </w:pPr>
      <m:oMathPara>
        <m:oMathParaPr>
          <m:jc m:val="left"/>
        </m:oMathParaPr>
        <m:oMath>
          <m:func>
            <m:funcPr>
              <m:ctrlPr>
                <w:rPr>
                  <w:rFonts w:ascii="Cambria Math" w:hAnsi="Cambria Math"/>
                  <w:i/>
                  <w:lang w:val="en-US"/>
                </w:rPr>
              </m:ctrlPr>
            </m:funcPr>
            <m:fName>
              <m:r>
                <m:rPr>
                  <m:sty m:val="p"/>
                </m:rPr>
                <w:rPr>
                  <w:rFonts w:ascii="Cambria Math" w:hAnsi="Cambria Math"/>
                  <w:lang w:val="en-US"/>
                </w:rPr>
                <m:t>cos</m:t>
              </m:r>
            </m:fName>
            <m:e>
              <m:d>
                <m:dPr>
                  <m:ctrlPr>
                    <w:rPr>
                      <w:rFonts w:ascii="Cambria Math" w:hAnsi="Cambria Math"/>
                      <w:i/>
                      <w:lang w:val="en-US"/>
                    </w:rPr>
                  </m:ctrlPr>
                </m:dPr>
                <m:e>
                  <m:r>
                    <w:rPr>
                      <w:rFonts w:ascii="Cambria Math" w:hAnsi="Cambria Math"/>
                      <w:lang w:val="en-US"/>
                    </w:rPr>
                    <m:t>γ</m:t>
                  </m:r>
                </m:e>
              </m:d>
            </m:e>
          </m:func>
          <m:r>
            <w:rPr>
              <w:rFonts w:ascii="Cambria Math" w:hAnsi="Cambria Math"/>
              <w:lang w:val="en-US"/>
            </w:rPr>
            <m:t xml:space="preserve">≈ </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11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33</m:t>
                  </m:r>
                </m:sub>
              </m:sSub>
            </m:num>
            <m:den>
              <m:r>
                <w:rPr>
                  <w:rFonts w:ascii="Cambria Math" w:hAnsi="Cambria Math"/>
                  <w:lang w:val="en-US"/>
                </w:rPr>
                <m:t>E</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4</m:t>
                      </m:r>
                    </m:sup>
                  </m:sSup>
                </m:e>
              </m:d>
              <m:r>
                <w:rPr>
                  <w:rFonts w:ascii="Cambria Math" w:hAnsi="Cambria Math"/>
                  <w:lang w:val="en-US"/>
                </w:rPr>
                <m:t>-E</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ν</m:t>
                      </m:r>
                    </m:e>
                    <m:sup>
                      <m:r>
                        <w:rPr>
                          <w:rFonts w:ascii="Cambria Math" w:hAnsi="Cambria Math"/>
                          <w:lang w:val="en-US"/>
                        </w:rPr>
                        <m:t>4</m:t>
                      </m:r>
                    </m:sup>
                  </m:sSup>
                </m:e>
              </m:d>
            </m:den>
          </m:f>
          <m:r>
            <w:rPr>
              <w:rFonts w:ascii="Cambria Math" w:hAnsi="Cambria Math"/>
              <w:lang w:val="en-US"/>
            </w:rPr>
            <m:t xml:space="preserve"> </m:t>
          </m:r>
        </m:oMath>
      </m:oMathPara>
    </w:p>
    <w:p w14:paraId="4D4A525C" w14:textId="1B1AE9B7" w:rsidR="009723D9" w:rsidRDefault="00313E13" w:rsidP="0040478C">
      <w:pPr>
        <w:spacing w:after="200" w:line="276" w:lineRule="auto"/>
        <w:jc w:val="both"/>
        <w:rPr>
          <w:lang w:val="en-US"/>
        </w:rPr>
      </w:pPr>
      <w:proofErr w:type="gramStart"/>
      <w:r>
        <w:rPr>
          <w:lang w:val="en-US"/>
        </w:rPr>
        <w:t>and</w:t>
      </w:r>
      <w:proofErr w:type="gramEnd"/>
      <w:r>
        <w:rPr>
          <w:lang w:val="en-US"/>
        </w:rPr>
        <w:t xml:space="preserve"> </w:t>
      </w:r>
      <w:r w:rsidR="00671F12">
        <w:rPr>
          <w:lang w:val="en-US"/>
        </w:rPr>
        <w:t>so,</w:t>
      </w:r>
      <w:r>
        <w:rPr>
          <w:lang w:val="en-US"/>
        </w:rPr>
        <w:t xml:space="preserve"> it is sensible to</w:t>
      </w:r>
      <w:r w:rsidR="00236A32">
        <w:rPr>
          <w:lang w:val="en-US"/>
        </w:rPr>
        <w:t>:</w:t>
      </w:r>
      <w:r>
        <w:rPr>
          <w:lang w:val="en-US"/>
        </w:rPr>
        <w:t xml:space="preserve"> </w:t>
      </w:r>
    </w:p>
    <w:p w14:paraId="65A5B073" w14:textId="5AF1717E" w:rsidR="00313E13" w:rsidRDefault="00313E13" w:rsidP="00E10DF2">
      <w:pPr>
        <w:spacing w:after="200" w:line="276" w:lineRule="auto"/>
        <w:ind w:firstLine="720"/>
        <w:jc w:val="both"/>
        <w:rPr>
          <w:lang w:val="en-US"/>
        </w:rPr>
      </w:pPr>
      <w:proofErr w:type="gramStart"/>
      <w:r>
        <w:rPr>
          <w:lang w:val="en-US"/>
        </w:rPr>
        <w:t>reject</w:t>
      </w:r>
      <w:proofErr w:type="gramEnd"/>
      <w:r>
        <w:rPr>
          <w:lang w:val="en-US"/>
        </w:rPr>
        <w:t xml:space="preserve"> bimodality for </w:t>
      </w:r>
      <w:r w:rsidRPr="009723D9">
        <w:rPr>
          <w:i/>
          <w:lang w:val="en-US"/>
        </w:rPr>
        <w:t>small</w:t>
      </w:r>
      <w:r>
        <w:rPr>
          <w:lang w:val="en-US"/>
        </w:rPr>
        <w:t xml:space="preserve"> values of </w:t>
      </w:r>
      <w:r w:rsidRPr="005F526C">
        <w:rPr>
          <w:i/>
          <w:lang w:val="en-US"/>
        </w:rPr>
        <w:t>S</w:t>
      </w:r>
      <w:r w:rsidRPr="005F526C">
        <w:rPr>
          <w:vertAlign w:val="subscript"/>
          <w:lang w:val="en-US"/>
        </w:rPr>
        <w:t>11</w:t>
      </w:r>
      <w:r>
        <w:rPr>
          <w:lang w:val="en-US"/>
        </w:rPr>
        <w:t xml:space="preserve"> – </w:t>
      </w:r>
      <w:r w:rsidRPr="005F526C">
        <w:rPr>
          <w:i/>
          <w:lang w:val="en-US"/>
        </w:rPr>
        <w:t>S</w:t>
      </w:r>
      <w:r w:rsidRPr="005F526C">
        <w:rPr>
          <w:vertAlign w:val="subscript"/>
          <w:lang w:val="en-US"/>
        </w:rPr>
        <w:t>33</w:t>
      </w:r>
      <w:r w:rsidR="008403EA">
        <w:rPr>
          <w:lang w:val="en-US"/>
        </w:rPr>
        <w:t>.</w:t>
      </w:r>
      <w:r w:rsidR="0038678C">
        <w:rPr>
          <w:lang w:val="en-US"/>
        </w:rPr>
        <w:tab/>
      </w:r>
      <w:r w:rsidRPr="00B30C0B">
        <w:rPr>
          <w:lang w:val="en-US"/>
        </w:rPr>
        <w:t>(7)</w:t>
      </w:r>
      <w:r>
        <w:rPr>
          <w:lang w:val="en-US"/>
        </w:rPr>
        <w:t xml:space="preserve"> </w:t>
      </w:r>
    </w:p>
    <w:p w14:paraId="206F2071" w14:textId="260CCB17" w:rsidR="00313E13" w:rsidRDefault="00313E13" w:rsidP="0040478C">
      <w:pPr>
        <w:spacing w:after="200" w:line="276" w:lineRule="auto"/>
        <w:jc w:val="both"/>
        <w:rPr>
          <w:lang w:val="en-US"/>
        </w:rPr>
      </w:pPr>
      <w:r>
        <w:rPr>
          <w:lang w:val="en-US"/>
        </w:rPr>
        <w:t xml:space="preserve">The significance of tests (5) or (7) </w:t>
      </w:r>
      <w:proofErr w:type="gramStart"/>
      <w:r>
        <w:rPr>
          <w:lang w:val="en-US"/>
        </w:rPr>
        <w:t>is assessed</w:t>
      </w:r>
      <w:proofErr w:type="gramEnd"/>
      <w:r>
        <w:rPr>
          <w:lang w:val="en-US"/>
        </w:rPr>
        <w:t xml:space="preserve"> by comparing the observed value of the statistic with the </w:t>
      </w:r>
      <w:proofErr w:type="spellStart"/>
      <w:r>
        <w:rPr>
          <w:lang w:val="en-US"/>
        </w:rPr>
        <w:t>randomisation</w:t>
      </w:r>
      <w:proofErr w:type="spellEnd"/>
      <w:r>
        <w:rPr>
          <w:lang w:val="en-US"/>
        </w:rPr>
        <w:t xml:space="preserve"> distribution. This is achieved by creating </w:t>
      </w:r>
      <w:proofErr w:type="gramStart"/>
      <w:r>
        <w:rPr>
          <w:lang w:val="en-US"/>
        </w:rPr>
        <w:t xml:space="preserve">a further </w:t>
      </w:r>
      <w:r w:rsidRPr="005E1E59">
        <w:rPr>
          <w:i/>
          <w:lang w:val="en-US"/>
        </w:rPr>
        <w:t>B</w:t>
      </w:r>
      <w:r>
        <w:rPr>
          <w:lang w:val="en-US"/>
        </w:rPr>
        <w:t xml:space="preserve"> pseudo-samples</w:t>
      </w:r>
      <w:proofErr w:type="gramEnd"/>
      <w:r>
        <w:rPr>
          <w:lang w:val="en-US"/>
        </w:rPr>
        <w:t xml:space="preserve"> (for a suitable positive integer </w:t>
      </w:r>
      <w:r w:rsidRPr="001B5EFF">
        <w:rPr>
          <w:i/>
          <w:lang w:val="en-US"/>
        </w:rPr>
        <w:t>B</w:t>
      </w:r>
      <w:r>
        <w:rPr>
          <w:lang w:val="en-US"/>
        </w:rPr>
        <w:t xml:space="preserve">), in each of which the </w:t>
      </w:r>
      <w:proofErr w:type="spellStart"/>
      <w:r w:rsidRPr="006541F5">
        <w:rPr>
          <w:i/>
          <w:lang w:val="en-US"/>
        </w:rPr>
        <w:t>i</w:t>
      </w:r>
      <w:r>
        <w:rPr>
          <w:lang w:val="en-US"/>
        </w:rPr>
        <w:t>th</w:t>
      </w:r>
      <w:proofErr w:type="spellEnd"/>
      <w:r>
        <w:rPr>
          <w:lang w:val="en-US"/>
        </w:rPr>
        <w:t xml:space="preserve"> observation is obtained from </w:t>
      </w:r>
      <m:oMath>
        <m:r>
          <w:rPr>
            <w:rFonts w:ascii="Cambria Math" w:hAnsi="Cambria Math"/>
            <w:lang w:val="en-US"/>
          </w:rPr>
          <m:t>±</m:t>
        </m:r>
        <m:sSub>
          <m:sSubPr>
            <m:ctrlPr>
              <w:rPr>
                <w:rFonts w:ascii="Cambria Math" w:hAnsi="Cambria Math"/>
                <w:i/>
                <w:lang w:val="en-US"/>
              </w:rPr>
            </m:ctrlPr>
          </m:sSubPr>
          <m:e>
            <m:r>
              <m:rPr>
                <m:sty m:val="p"/>
              </m:rPr>
              <w:rPr>
                <w:rFonts w:ascii="Cambria Math" w:hAnsi="Cambria Math"/>
                <w:lang w:val="en-US"/>
              </w:rPr>
              <m:t>x</m:t>
            </m:r>
          </m:e>
          <m:sub>
            <m:r>
              <w:rPr>
                <w:rFonts w:ascii="Cambria Math" w:hAnsi="Cambria Math"/>
                <w:lang w:val="en-US"/>
              </w:rPr>
              <m:t>i</m:t>
            </m:r>
          </m:sub>
        </m:sSub>
      </m:oMath>
      <w:r>
        <w:rPr>
          <w:lang w:val="en-US"/>
        </w:rPr>
        <w:t xml:space="preserve"> by rotating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oMath>
      <w:r>
        <w:rPr>
          <w:lang w:val="en-US"/>
        </w:rPr>
        <w:t xml:space="preserve">about the closer of the 2 fitted modes through a uniformly distributed random angle. The </w:t>
      </w:r>
      <w:r w:rsidRPr="00942298">
        <w:rPr>
          <w:i/>
          <w:lang w:val="en-US"/>
        </w:rPr>
        <w:t>p</w:t>
      </w:r>
      <w:r>
        <w:rPr>
          <w:lang w:val="en-US"/>
        </w:rPr>
        <w:t xml:space="preserve">-value is taken as the proportion of the </w:t>
      </w:r>
      <w:r w:rsidRPr="001C0243">
        <w:rPr>
          <w:i/>
          <w:lang w:val="en-US"/>
        </w:rPr>
        <w:t>B</w:t>
      </w:r>
      <w:r>
        <w:rPr>
          <w:lang w:val="en-US"/>
        </w:rPr>
        <w:t>+</w:t>
      </w:r>
      <w:proofErr w:type="gramStart"/>
      <w:r>
        <w:rPr>
          <w:lang w:val="en-US"/>
        </w:rPr>
        <w:t>1</w:t>
      </w:r>
      <w:proofErr w:type="gramEnd"/>
      <w:r>
        <w:rPr>
          <w:lang w:val="en-US"/>
        </w:rPr>
        <w:t xml:space="preserve"> values of the statistic that are smaller than (or equal to) the observed value. </w:t>
      </w:r>
    </w:p>
    <w:p w14:paraId="19AED8E4" w14:textId="77777777" w:rsidR="00BA48A9" w:rsidRDefault="00BA48A9" w:rsidP="0040478C">
      <w:pPr>
        <w:spacing w:after="200" w:line="276" w:lineRule="auto"/>
        <w:jc w:val="both"/>
      </w:pPr>
    </w:p>
    <w:p w14:paraId="64249A6B" w14:textId="23CCAA40" w:rsidR="00B65040" w:rsidRPr="003F5C1D" w:rsidRDefault="00B65040" w:rsidP="0040478C">
      <w:pPr>
        <w:spacing w:after="200" w:line="276" w:lineRule="auto"/>
        <w:jc w:val="both"/>
        <w:rPr>
          <w:i/>
        </w:rPr>
      </w:pPr>
      <w:r w:rsidRPr="003F5C1D">
        <w:rPr>
          <w:i/>
        </w:rPr>
        <w:t xml:space="preserve">4.3 </w:t>
      </w:r>
      <w:r w:rsidR="007675DF" w:rsidRPr="003F5C1D">
        <w:rPr>
          <w:i/>
        </w:rPr>
        <w:t>Results for synthetic datasets</w:t>
      </w:r>
    </w:p>
    <w:p w14:paraId="029328D3" w14:textId="77777777" w:rsidR="0047177D" w:rsidRDefault="0047177D" w:rsidP="0040478C">
      <w:pPr>
        <w:spacing w:after="200" w:line="276" w:lineRule="auto"/>
        <w:jc w:val="both"/>
      </w:pPr>
      <w:r>
        <w:rPr>
          <w:rFonts w:eastAsia="Times New Roman"/>
        </w:rPr>
        <w:lastRenderedPageBreak/>
        <w:t xml:space="preserve">Table 1 gives the </w:t>
      </w:r>
      <w:r>
        <w:rPr>
          <w:rFonts w:eastAsia="Times New Roman"/>
          <w:i/>
          <w:iCs/>
        </w:rPr>
        <w:t>p</w:t>
      </w:r>
      <w:r>
        <w:rPr>
          <w:rFonts w:eastAsia="Times New Roman"/>
        </w:rPr>
        <w:t xml:space="preserve">-values and corresponding decisions (at the 5% level) obtained by applying the tests to some synthetic datasets simulated from the bimodal equal mixture model. Table 2 does the same for some datasets simulated from the </w:t>
      </w:r>
      <w:proofErr w:type="spellStart"/>
      <w:r>
        <w:rPr>
          <w:rFonts w:eastAsia="Times New Roman"/>
        </w:rPr>
        <w:t>quadrimodal</w:t>
      </w:r>
      <w:proofErr w:type="spellEnd"/>
      <w:r>
        <w:rPr>
          <w:rFonts w:eastAsia="Times New Roman"/>
        </w:rPr>
        <w:t xml:space="preserve"> equal mixture model. In each case, both tests come to the correct conclusion.</w:t>
      </w:r>
      <w:r>
        <w:t xml:space="preserve"> </w:t>
      </w:r>
    </w:p>
    <w:p w14:paraId="3149ECC7" w14:textId="77777777" w:rsidR="00082C98" w:rsidRDefault="00082C98" w:rsidP="00082C98">
      <w:pPr>
        <w:spacing w:after="200" w:line="276" w:lineRule="auto"/>
        <w:jc w:val="both"/>
        <w:rPr>
          <w:lang w:val="en-US"/>
        </w:rPr>
      </w:pPr>
    </w:p>
    <w:p w14:paraId="082C3A7E" w14:textId="7866A966" w:rsidR="007675DF" w:rsidRPr="003F5C1D" w:rsidRDefault="007675DF" w:rsidP="0040478C">
      <w:pPr>
        <w:spacing w:after="200" w:line="276" w:lineRule="auto"/>
        <w:jc w:val="both"/>
        <w:rPr>
          <w:i/>
        </w:rPr>
      </w:pPr>
      <w:r w:rsidRPr="003F5C1D">
        <w:rPr>
          <w:i/>
        </w:rPr>
        <w:t xml:space="preserve">4.4 Results for natural datasets </w:t>
      </w:r>
    </w:p>
    <w:p w14:paraId="49C967BE" w14:textId="7DAC1E2C" w:rsidR="0047177D" w:rsidRDefault="0047177D" w:rsidP="0040478C">
      <w:pPr>
        <w:spacing w:after="200" w:line="276" w:lineRule="auto"/>
        <w:jc w:val="both"/>
      </w:pPr>
      <w:r>
        <w:rPr>
          <w:rFonts w:eastAsia="Times New Roman"/>
        </w:rPr>
        <w:t>Table 3 gives the </w:t>
      </w:r>
      <w:r>
        <w:rPr>
          <w:rFonts w:eastAsia="Times New Roman"/>
          <w:i/>
          <w:iCs/>
        </w:rPr>
        <w:t>p</w:t>
      </w:r>
      <w:r>
        <w:rPr>
          <w:rFonts w:eastAsia="Times New Roman"/>
        </w:rPr>
        <w:t>-values and corresponding decisions (at the 5% level) obtained by applying the tests to the natural datasets discussed in Section 3.2. For each dataset, the two tests come to the same conclusion, which is plausible in view of Figure 5.</w:t>
      </w:r>
      <w:r>
        <w:t xml:space="preserve"> </w:t>
      </w:r>
      <w:r w:rsidR="00D31635">
        <w:t xml:space="preserve">Figure 7 shows the fabric eigenvalue plot for these datasets. </w:t>
      </w:r>
    </w:p>
    <w:p w14:paraId="4A7D8D46" w14:textId="68602BBE" w:rsidR="00F97469" w:rsidRDefault="00F97469" w:rsidP="00F97469">
      <w:pPr>
        <w:spacing w:after="200" w:line="276" w:lineRule="auto"/>
        <w:jc w:val="both"/>
      </w:pPr>
      <w:r w:rsidRPr="00576A47">
        <w:rPr>
          <w:b/>
        </w:rPr>
        <w:t>Figure 7.</w:t>
      </w:r>
      <w:r w:rsidRPr="00576A47">
        <w:t xml:space="preserve">  Eigenvalue </w:t>
      </w:r>
      <w:r>
        <w:t xml:space="preserve">ratio plot for the natural datasets shown in Figure 5. All but one dataset (Central Italy) lies above the line for </w:t>
      </w:r>
      <w:r w:rsidRPr="001A11C2">
        <w:rPr>
          <w:i/>
        </w:rPr>
        <w:t>k</w:t>
      </w:r>
      <w:r w:rsidR="00BE1E32">
        <w:t>=</w:t>
      </w:r>
      <w:proofErr w:type="gramStart"/>
      <w:r>
        <w:t>1</w:t>
      </w:r>
      <w:proofErr w:type="gramEnd"/>
      <w:r>
        <w:t xml:space="preserve">. The best-constrained </w:t>
      </w:r>
      <w:proofErr w:type="spellStart"/>
      <w:r>
        <w:t>quadrimodal</w:t>
      </w:r>
      <w:proofErr w:type="spellEnd"/>
      <w:r>
        <w:t xml:space="preserve"> fault dataset (Gruinard) has the highest ratio of </w:t>
      </w:r>
      <w:proofErr w:type="gramStart"/>
      <w:r>
        <w:t>log</w:t>
      </w:r>
      <w:r w:rsidRPr="0093435F">
        <w:rPr>
          <w:vertAlign w:val="subscript"/>
        </w:rPr>
        <w:t>e</w:t>
      </w:r>
      <w:r>
        <w:t>(</w:t>
      </w:r>
      <w:proofErr w:type="gramEnd"/>
      <w:r w:rsidRPr="0093435F">
        <w:rPr>
          <w:i/>
        </w:rPr>
        <w:t>S</w:t>
      </w:r>
      <w:r w:rsidRPr="0093435F">
        <w:rPr>
          <w:i/>
          <w:vertAlign w:val="subscript"/>
        </w:rPr>
        <w:t>1</w:t>
      </w:r>
      <w:r>
        <w:t>/</w:t>
      </w:r>
      <w:r w:rsidRPr="0093435F">
        <w:rPr>
          <w:i/>
        </w:rPr>
        <w:t>S</w:t>
      </w:r>
      <w:r w:rsidRPr="0093435F">
        <w:rPr>
          <w:i/>
          <w:vertAlign w:val="subscript"/>
        </w:rPr>
        <w:t>2</w:t>
      </w:r>
      <w:r>
        <w:t xml:space="preserve">). </w:t>
      </w:r>
    </w:p>
    <w:p w14:paraId="01EEB627" w14:textId="77777777" w:rsidR="00082C98" w:rsidRPr="00576A47" w:rsidRDefault="00082C98" w:rsidP="00F97469">
      <w:pPr>
        <w:spacing w:after="200" w:line="276" w:lineRule="auto"/>
        <w:jc w:val="both"/>
      </w:pPr>
    </w:p>
    <w:p w14:paraId="43EDD75F" w14:textId="22D97E17" w:rsidR="0017024D" w:rsidRPr="007C23F5" w:rsidRDefault="000D7E12" w:rsidP="0040478C">
      <w:pPr>
        <w:spacing w:after="200" w:line="276" w:lineRule="auto"/>
        <w:jc w:val="both"/>
        <w:rPr>
          <w:b/>
        </w:rPr>
      </w:pPr>
      <w:r>
        <w:rPr>
          <w:b/>
        </w:rPr>
        <w:t>5</w:t>
      </w:r>
      <w:r w:rsidR="00350784" w:rsidRPr="007C23F5">
        <w:rPr>
          <w:b/>
        </w:rPr>
        <w:t xml:space="preserve">. </w:t>
      </w:r>
      <w:r w:rsidR="003138E0" w:rsidRPr="007C23F5">
        <w:rPr>
          <w:b/>
        </w:rPr>
        <w:t xml:space="preserve">Discussion </w:t>
      </w:r>
    </w:p>
    <w:p w14:paraId="1628C0A9" w14:textId="5FF1F025" w:rsidR="00743F56" w:rsidRDefault="00743F56" w:rsidP="0040478C">
      <w:pPr>
        <w:spacing w:after="200" w:line="276" w:lineRule="auto"/>
        <w:jc w:val="both"/>
      </w:pPr>
      <w:r>
        <w:t xml:space="preserve">In the analysis described above and the tests we performed with synthetic datasets, we assumed that bimodal and </w:t>
      </w:r>
      <w:proofErr w:type="spellStart"/>
      <w:r>
        <w:t>quadrimodal</w:t>
      </w:r>
      <w:proofErr w:type="spellEnd"/>
      <w:r>
        <w:t xml:space="preserve"> Watson orientation distributions provide a reasonable approximation to the distributions of poles to natural fault planes. </w:t>
      </w:r>
      <w:r w:rsidR="00F0652B">
        <w:t xml:space="preserve">In terms of the underlying </w:t>
      </w:r>
      <w:proofErr w:type="gramStart"/>
      <w:r w:rsidR="00F0652B">
        <w:t>statistics</w:t>
      </w:r>
      <w:proofErr w:type="gramEnd"/>
      <w:r w:rsidR="00F0652B">
        <w:t xml:space="preserve"> t</w:t>
      </w:r>
      <w:r>
        <w:t xml:space="preserve">his is unproven, but we know of no compelling evidence in support of alternative distributions. </w:t>
      </w:r>
      <w:r w:rsidR="00C66D0F">
        <w:t>New data from carefully controlled laboratory experiments on rock or analog</w:t>
      </w:r>
      <w:r w:rsidR="006D1028">
        <w:t>ous</w:t>
      </w:r>
      <w:r w:rsidR="00C66D0F">
        <w:t xml:space="preserve"> materials might provide important constraints for the </w:t>
      </w:r>
      <w:r w:rsidR="007F7BAA">
        <w:t xml:space="preserve">underlying </w:t>
      </w:r>
      <w:r w:rsidR="00C66D0F">
        <w:t xml:space="preserve">statistics of </w:t>
      </w:r>
      <w:proofErr w:type="gramStart"/>
      <w:r w:rsidR="00C66D0F">
        <w:t>shear fracture plane orientations</w:t>
      </w:r>
      <w:proofErr w:type="gramEnd"/>
      <w:r w:rsidR="00C66D0F">
        <w:t xml:space="preserve">. </w:t>
      </w:r>
    </w:p>
    <w:p w14:paraId="7F5442A1" w14:textId="6E32FA0B" w:rsidR="0057618C" w:rsidRDefault="00C66D0F" w:rsidP="0040478C">
      <w:pPr>
        <w:spacing w:after="200" w:line="276" w:lineRule="auto"/>
        <w:jc w:val="both"/>
      </w:pPr>
      <w:r>
        <w:t xml:space="preserve">We have tested our new methods on synthetic and natural datasets. Arguably, six natural datasets are insufficient to establish </w:t>
      </w:r>
      <w:r w:rsidR="0047177D">
        <w:t xml:space="preserve">firmly </w:t>
      </w:r>
      <w:r>
        <w:t xml:space="preserve">the primacy of </w:t>
      </w:r>
      <w:proofErr w:type="spellStart"/>
      <w:r>
        <w:t>polymodal</w:t>
      </w:r>
      <w:proofErr w:type="spellEnd"/>
      <w:r>
        <w:t xml:space="preserve"> orthorhombic fault patterns in nature (Figure 7). However, we reiterate the key recommendation from Healy et al. (2015): to be useful for this task, fault orientation datasets need to show clear evidence of contemporaneity among all fault sets, through tools such as matrices of </w:t>
      </w:r>
      <w:proofErr w:type="gramStart"/>
      <w:r>
        <w:t>cross-cutting</w:t>
      </w:r>
      <w:proofErr w:type="gramEnd"/>
      <w:r>
        <w:t xml:space="preserve"> relationships</w:t>
      </w:r>
      <w:r w:rsidR="0031431D">
        <w:t xml:space="preserve"> (Potts &amp; Reddy, 2000</w:t>
      </w:r>
      <w:r>
        <w:t xml:space="preserve">). </w:t>
      </w:r>
      <w:r w:rsidR="00174093">
        <w:t>In addition, as shown above, larger datasets (</w:t>
      </w:r>
      <w:r w:rsidR="00BE73A4">
        <w:t>n&gt;2</w:t>
      </w:r>
      <w:r w:rsidR="00174093">
        <w:t xml:space="preserve">00) </w:t>
      </w:r>
      <w:r w:rsidR="00AC218D">
        <w:t xml:space="preserve">tend to show clearer patterns. </w:t>
      </w:r>
      <w:r w:rsidR="003D2810">
        <w:t xml:space="preserve">Scope exists to collect fault or shear fracture orientation data from </w:t>
      </w:r>
      <w:r w:rsidR="0002001B">
        <w:t xml:space="preserve">sources other than outcrops: Yielding (2016) has measured normal faults in seismic reflection data from the North Sea and </w:t>
      </w:r>
      <w:proofErr w:type="spellStart"/>
      <w:r w:rsidR="0002001B">
        <w:t>Ghaffari</w:t>
      </w:r>
      <w:proofErr w:type="spellEnd"/>
      <w:r w:rsidR="0002001B">
        <w:t xml:space="preserve"> et al. (</w:t>
      </w:r>
      <w:r w:rsidR="00F93B94">
        <w:t>2014</w:t>
      </w:r>
      <w:r w:rsidR="0002001B">
        <w:t>) measured faults in cm-sized samples deformed in the laboratory and the</w:t>
      </w:r>
      <w:r w:rsidR="00E24D66">
        <w:t xml:space="preserve">n scanned by X-ray computerised tomography. </w:t>
      </w:r>
    </w:p>
    <w:p w14:paraId="3EDFF077" w14:textId="10D0E421" w:rsidR="00992CE7" w:rsidRDefault="00992CE7" w:rsidP="0040478C">
      <w:pPr>
        <w:spacing w:after="200" w:line="276" w:lineRule="auto"/>
        <w:jc w:val="both"/>
      </w:pPr>
      <w:r>
        <w:t xml:space="preserve">The Chimney Rock dataset is probably not orthorhombic according to the two tests, and lies close to the line for </w:t>
      </w:r>
      <w:r w:rsidRPr="00992CE7">
        <w:rPr>
          <w:i/>
        </w:rPr>
        <w:t>k</w:t>
      </w:r>
      <w:r>
        <w:t>=</w:t>
      </w:r>
      <w:proofErr w:type="gramStart"/>
      <w:r>
        <w:t>1</w:t>
      </w:r>
      <w:proofErr w:type="gramEnd"/>
      <w:r>
        <w:t xml:space="preserve"> on Figure 7. It is interesting to note that the Chimney Rock data, and other fault patterns from the San Rafael area of Utah, </w:t>
      </w:r>
      <w:proofErr w:type="gramStart"/>
      <w:r>
        <w:t>are considered</w:t>
      </w:r>
      <w:proofErr w:type="gramEnd"/>
      <w:r>
        <w:t xml:space="preserve"> as displaying orthorhombic symmetry by </w:t>
      </w:r>
      <w:proofErr w:type="spellStart"/>
      <w:r>
        <w:t>Krantz</w:t>
      </w:r>
      <w:proofErr w:type="spellEnd"/>
      <w:r>
        <w:t xml:space="preserve"> (1989) and </w:t>
      </w:r>
      <w:proofErr w:type="spellStart"/>
      <w:r>
        <w:t>Reches</w:t>
      </w:r>
      <w:proofErr w:type="spellEnd"/>
      <w:r>
        <w:t xml:space="preserve"> (1978)</w:t>
      </w:r>
      <w:r w:rsidR="00926E2B">
        <w:t>. However</w:t>
      </w:r>
      <w:r>
        <w:t xml:space="preserve">, a </w:t>
      </w:r>
      <w:r w:rsidR="0086457E">
        <w:t>subsequent</w:t>
      </w:r>
      <w:r>
        <w:t xml:space="preserve"> re-interpretation by </w:t>
      </w:r>
      <w:proofErr w:type="spellStart"/>
      <w:r>
        <w:t>Davatzes</w:t>
      </w:r>
      <w:proofErr w:type="spellEnd"/>
      <w:r>
        <w:t xml:space="preserve"> et al. (2003) has ascribed the fault pattern to overprinting of earlier deformation bands by later sheared joints. This may account for the inconsistent results of our tests when compared to the position of the pattern on the eigenvalue plot.</w:t>
      </w:r>
      <w:r w:rsidR="0053342B">
        <w:t xml:space="preserve"> The Central Italy </w:t>
      </w:r>
      <w:r w:rsidR="0053342B">
        <w:lastRenderedPageBreak/>
        <w:t xml:space="preserve">dataset (taken from Roberts, 2007) </w:t>
      </w:r>
      <w:r w:rsidR="00B4270C">
        <w:t>is very large (</w:t>
      </w:r>
      <w:r w:rsidR="00B4270C" w:rsidRPr="00B4270C">
        <w:rPr>
          <w:i/>
        </w:rPr>
        <w:t>n</w:t>
      </w:r>
      <w:r w:rsidR="00B4270C">
        <w:t>=1182) and the data were measured over a wide geographical area</w:t>
      </w:r>
      <w:r w:rsidR="00A02227">
        <w:t xml:space="preserve">. The dataset lies below the line for </w:t>
      </w:r>
      <w:r w:rsidR="00A02227" w:rsidRPr="00A02227">
        <w:rPr>
          <w:i/>
        </w:rPr>
        <w:t>k</w:t>
      </w:r>
      <w:r w:rsidR="00A02227">
        <w:t>=</w:t>
      </w:r>
      <w:proofErr w:type="gramStart"/>
      <w:r w:rsidR="00A02227">
        <w:t>1</w:t>
      </w:r>
      <w:proofErr w:type="gramEnd"/>
      <w:r w:rsidR="00A02227">
        <w:t xml:space="preserve"> on the fabric eigenvalue plot (Figure 7), which might suggest it is bimodal. However, for fault planes measured over large areas there is a significant chance that regional stress variations may have produced systematically varying orientations of fault planes.  </w:t>
      </w:r>
      <w:r w:rsidR="00B4270C">
        <w:t xml:space="preserve"> </w:t>
      </w:r>
    </w:p>
    <w:p w14:paraId="2AEAE48C" w14:textId="1325401A" w:rsidR="00B92E9C" w:rsidRDefault="002F3649" w:rsidP="0040478C">
      <w:pPr>
        <w:spacing w:after="200" w:line="276" w:lineRule="auto"/>
        <w:jc w:val="both"/>
      </w:pPr>
      <w:r>
        <w:t xml:space="preserve">A final point concerns dispersion </w:t>
      </w:r>
      <w:r w:rsidR="0047177D">
        <w:t>(noise)</w:t>
      </w:r>
      <w:r>
        <w:t xml:space="preserve"> in the data. </w:t>
      </w:r>
      <w:r w:rsidR="0057618C">
        <w:t xml:space="preserve">Synthetic datasets of bimodal (conjugate) and </w:t>
      </w:r>
      <w:proofErr w:type="spellStart"/>
      <w:r w:rsidR="0057618C">
        <w:t>quadrimodal</w:t>
      </w:r>
      <w:proofErr w:type="spellEnd"/>
      <w:r w:rsidR="0057618C">
        <w:t xml:space="preserve"> patterns with low values of </w:t>
      </w:r>
      <w:r w:rsidR="0057618C" w:rsidRPr="0057618C">
        <w:rPr>
          <w:rFonts w:ascii="Symbol" w:hAnsi="Symbol"/>
          <w:i/>
        </w:rPr>
        <w:t></w:t>
      </w:r>
      <w:r w:rsidR="0057618C">
        <w:t>, the Watson concentration parameter, fall into overlapping fields on the eigenvalue fabric plot. We ran</w:t>
      </w:r>
      <w:r w:rsidR="00822C13">
        <w:t xml:space="preserve"> </w:t>
      </w:r>
      <w:r w:rsidR="00D56550">
        <w:t xml:space="preserve">1000 </w:t>
      </w:r>
      <w:r w:rsidR="00822C13">
        <w:t xml:space="preserve">Monte Carlo simulations of </w:t>
      </w:r>
      <w:r w:rsidR="007228A7">
        <w:t xml:space="preserve">bimodal and </w:t>
      </w:r>
      <w:proofErr w:type="spellStart"/>
      <w:r w:rsidR="007228A7">
        <w:t>quadrimodal</w:t>
      </w:r>
      <w:proofErr w:type="spellEnd"/>
      <w:r w:rsidR="007228A7">
        <w:t xml:space="preserve"> Watson distributions each with </w:t>
      </w:r>
      <w:r w:rsidR="007228A7" w:rsidRPr="000B3B9E">
        <w:rPr>
          <w:i/>
        </w:rPr>
        <w:t>n</w:t>
      </w:r>
      <w:r w:rsidR="007228A7">
        <w:t>=52</w:t>
      </w:r>
      <w:r w:rsidR="0057618C">
        <w:t xml:space="preserve"> </w:t>
      </w:r>
      <w:r w:rsidR="00D56550">
        <w:t>poles</w:t>
      </w:r>
      <w:r w:rsidR="00DF77FE">
        <w:t>,</w:t>
      </w:r>
      <w:r w:rsidR="00D56550">
        <w:t xml:space="preserve"> and </w:t>
      </w:r>
      <w:r w:rsidR="00D56550" w:rsidRPr="00DF77FE">
        <w:rPr>
          <w:rFonts w:ascii="Symbol" w:hAnsi="Symbol"/>
          <w:i/>
        </w:rPr>
        <w:t></w:t>
      </w:r>
      <w:r w:rsidR="00D56550">
        <w:t xml:space="preserve"> = 5 </w:t>
      </w:r>
      <w:r w:rsidR="001B07F5">
        <w:t>and 10</w:t>
      </w:r>
      <w:r w:rsidR="00D56550">
        <w:t>, and the results are shown in Figure 8.</w:t>
      </w:r>
      <w:r w:rsidR="00DF77FE">
        <w:t xml:space="preserve"> Bimodal (conjugate) datasets for these disperse</w:t>
      </w:r>
      <w:r w:rsidR="00C010F4">
        <w:t>d</w:t>
      </w:r>
      <w:r w:rsidR="00DF77FE">
        <w:t xml:space="preserve"> and sparse patterns </w:t>
      </w:r>
      <w:r w:rsidR="006811A4">
        <w:t>lie</w:t>
      </w:r>
      <w:r w:rsidR="00DF77FE">
        <w:t xml:space="preserve"> across the 1:1 line on the fabric plot (Figure 8a; </w:t>
      </w:r>
      <w:r w:rsidR="00DF77FE" w:rsidRPr="006B7B3D">
        <w:rPr>
          <w:rFonts w:ascii="Symbol" w:hAnsi="Symbol"/>
          <w:i/>
        </w:rPr>
        <w:t></w:t>
      </w:r>
      <w:r w:rsidR="003833B3">
        <w:rPr>
          <w:rFonts w:ascii="Symbol" w:hAnsi="Symbol"/>
          <w:i/>
        </w:rPr>
        <w:t></w:t>
      </w:r>
      <w:r w:rsidR="00DF77FE">
        <w:t>=</w:t>
      </w:r>
      <w:r w:rsidR="003833B3">
        <w:t xml:space="preserve"> </w:t>
      </w:r>
      <w:proofErr w:type="gramStart"/>
      <w:r w:rsidR="00DF77FE">
        <w:t>5</w:t>
      </w:r>
      <w:proofErr w:type="gramEnd"/>
      <w:r w:rsidR="00DF77FE">
        <w:t xml:space="preserve"> in blue, </w:t>
      </w:r>
      <w:r w:rsidR="00DF77FE" w:rsidRPr="006B7B3D">
        <w:rPr>
          <w:rFonts w:ascii="Symbol" w:hAnsi="Symbol"/>
          <w:i/>
        </w:rPr>
        <w:t></w:t>
      </w:r>
      <w:r w:rsidR="003833B3">
        <w:rPr>
          <w:rFonts w:ascii="Symbol" w:hAnsi="Symbol"/>
          <w:i/>
        </w:rPr>
        <w:t></w:t>
      </w:r>
      <w:r w:rsidR="00DF77FE">
        <w:t>=</w:t>
      </w:r>
      <w:r w:rsidR="003833B3">
        <w:t xml:space="preserve"> </w:t>
      </w:r>
      <w:r w:rsidR="00DF77FE">
        <w:t>10 in yellow).</w:t>
      </w:r>
      <w:r w:rsidR="00D56550">
        <w:t xml:space="preserve"> </w:t>
      </w:r>
      <w:proofErr w:type="spellStart"/>
      <w:r w:rsidR="006B7B3D">
        <w:t>Quadrimodal</w:t>
      </w:r>
      <w:proofErr w:type="spellEnd"/>
      <w:r w:rsidR="006B7B3D">
        <w:t xml:space="preserve"> datasets for these parameters are also noisy, with some fabri</w:t>
      </w:r>
      <w:r w:rsidR="00737BAD">
        <w:t xml:space="preserve">cs </w:t>
      </w:r>
      <w:r w:rsidR="006811A4">
        <w:t>lying</w:t>
      </w:r>
      <w:r w:rsidR="00737BAD">
        <w:t xml:space="preserve"> below the 1:1 line (Figure 8b</w:t>
      </w:r>
      <w:r w:rsidR="003833B3">
        <w:t xml:space="preserve">; </w:t>
      </w:r>
      <w:r w:rsidR="003833B3" w:rsidRPr="006B7B3D">
        <w:rPr>
          <w:rFonts w:ascii="Symbol" w:hAnsi="Symbol"/>
          <w:i/>
        </w:rPr>
        <w:t></w:t>
      </w:r>
      <w:r w:rsidR="003833B3">
        <w:rPr>
          <w:rFonts w:ascii="Symbol" w:hAnsi="Symbol"/>
          <w:i/>
        </w:rPr>
        <w:t></w:t>
      </w:r>
      <w:r w:rsidR="003833B3">
        <w:t xml:space="preserve">= </w:t>
      </w:r>
      <w:proofErr w:type="gramStart"/>
      <w:r w:rsidR="003833B3">
        <w:t>5</w:t>
      </w:r>
      <w:proofErr w:type="gramEnd"/>
      <w:r w:rsidR="003833B3">
        <w:t xml:space="preserve"> in blue, </w:t>
      </w:r>
      <w:r w:rsidR="003833B3" w:rsidRPr="006B7B3D">
        <w:rPr>
          <w:rFonts w:ascii="Symbol" w:hAnsi="Symbol"/>
          <w:i/>
        </w:rPr>
        <w:t></w:t>
      </w:r>
      <w:r w:rsidR="003833B3">
        <w:rPr>
          <w:rFonts w:ascii="Symbol" w:hAnsi="Symbol"/>
          <w:i/>
        </w:rPr>
        <w:t></w:t>
      </w:r>
      <w:r w:rsidR="003833B3">
        <w:t>= 10 in yellow</w:t>
      </w:r>
      <w:r w:rsidR="00737BAD">
        <w:t xml:space="preserve">). Under these conditions of low </w:t>
      </w:r>
      <w:r w:rsidR="00737BAD" w:rsidRPr="008A5F53">
        <w:rPr>
          <w:rFonts w:ascii="Symbol" w:hAnsi="Symbol"/>
          <w:i/>
        </w:rPr>
        <w:t></w:t>
      </w:r>
      <w:r w:rsidR="00737BAD">
        <w:t xml:space="preserve"> (disperse</w:t>
      </w:r>
      <w:r w:rsidR="00C010F4">
        <w:t>d</w:t>
      </w:r>
      <w:r w:rsidR="00737BAD">
        <w:t xml:space="preserve">) and low </w:t>
      </w:r>
      <w:r w:rsidR="00737BAD" w:rsidRPr="008A5F53">
        <w:rPr>
          <w:i/>
        </w:rPr>
        <w:t>n</w:t>
      </w:r>
      <w:r w:rsidR="00737BAD">
        <w:t xml:space="preserve"> (sparse), it can be difficult to separate bimodal (conjugate) from </w:t>
      </w:r>
      <w:proofErr w:type="spellStart"/>
      <w:r w:rsidR="00737BAD">
        <w:t>quadrimodal</w:t>
      </w:r>
      <w:proofErr w:type="spellEnd"/>
      <w:r w:rsidR="00737BAD">
        <w:t xml:space="preserve"> fault patterns. However, we assert that this may not matter: a noisy and disperse</w:t>
      </w:r>
      <w:r w:rsidR="005C4CCA">
        <w:t>d</w:t>
      </w:r>
      <w:r w:rsidR="00737BAD">
        <w:t xml:space="preserve"> 'bimodal' conjugate fault pattern </w:t>
      </w:r>
      <w:proofErr w:type="gramStart"/>
      <w:r w:rsidR="00737BAD">
        <w:t xml:space="preserve">is in effect similar to a </w:t>
      </w:r>
      <w:proofErr w:type="spellStart"/>
      <w:r w:rsidR="00737BAD">
        <w:t>polymodal</w:t>
      </w:r>
      <w:proofErr w:type="spellEnd"/>
      <w:r w:rsidR="00737BAD">
        <w:t xml:space="preserve"> pattern</w:t>
      </w:r>
      <w:r w:rsidR="00A23CAB">
        <w:t xml:space="preserve"> i.e. </w:t>
      </w:r>
      <w:r w:rsidR="00737BAD">
        <w:t>slip</w:t>
      </w:r>
      <w:proofErr w:type="gramEnd"/>
      <w:r w:rsidR="00737BAD">
        <w:t xml:space="preserve"> on </w:t>
      </w:r>
      <w:r w:rsidR="0040318F">
        <w:t xml:space="preserve">these </w:t>
      </w:r>
      <w:r w:rsidR="00375B80">
        <w:t xml:space="preserve">dispersed </w:t>
      </w:r>
      <w:r w:rsidR="00737BAD">
        <w:t xml:space="preserve">fault planes </w:t>
      </w:r>
      <w:r w:rsidR="006811A4">
        <w:t>will</w:t>
      </w:r>
      <w:r w:rsidR="00597962">
        <w:t xml:space="preserve"> produce</w:t>
      </w:r>
      <w:r w:rsidR="00737BAD">
        <w:t xml:space="preserve"> a bulk 3D </w:t>
      </w:r>
      <w:proofErr w:type="spellStart"/>
      <w:r w:rsidR="00737BAD">
        <w:t>triaxial</w:t>
      </w:r>
      <w:proofErr w:type="spellEnd"/>
      <w:r w:rsidR="00737BAD">
        <w:t xml:space="preserve"> strain. </w:t>
      </w:r>
    </w:p>
    <w:p w14:paraId="41EA457F" w14:textId="77777777" w:rsidR="00494D8A" w:rsidRDefault="00F97469" w:rsidP="00F97469">
      <w:pPr>
        <w:spacing w:after="200" w:line="276" w:lineRule="auto"/>
        <w:jc w:val="both"/>
      </w:pPr>
      <w:r w:rsidRPr="00182210">
        <w:rPr>
          <w:b/>
        </w:rPr>
        <w:t>Figure 8.</w:t>
      </w:r>
      <w:r>
        <w:t xml:space="preserve"> Eigenvalue ratio plots of synthetic data to illustrate the impact of dispersion on the ability of this plot to discriminate between conjugate (bimodal) and </w:t>
      </w:r>
      <w:proofErr w:type="spellStart"/>
      <w:r>
        <w:t>quadrimodal</w:t>
      </w:r>
      <w:proofErr w:type="spellEnd"/>
      <w:r>
        <w:t xml:space="preserve"> fault data.  </w:t>
      </w:r>
      <w:r w:rsidRPr="00C85952">
        <w:rPr>
          <w:b/>
        </w:rPr>
        <w:t>a</w:t>
      </w:r>
      <w:r>
        <w:t xml:space="preserve">) Monte Carlo ensemble of 2000 conjugate fault populations (mixtures of two equal Watson distributions), with </w:t>
      </w:r>
      <w:r w:rsidRPr="00357947">
        <w:rPr>
          <w:rFonts w:ascii="Symbol" w:hAnsi="Symbol"/>
          <w:i/>
        </w:rPr>
        <w:t></w:t>
      </w:r>
      <w:r>
        <w:t xml:space="preserve"> varying from </w:t>
      </w:r>
      <w:proofErr w:type="gramStart"/>
      <w:r>
        <w:t>5</w:t>
      </w:r>
      <w:proofErr w:type="gramEnd"/>
      <w:r>
        <w:t xml:space="preserve"> (dark blue) to 10 (yellow). </w:t>
      </w:r>
      <w:r w:rsidRPr="00C85952">
        <w:rPr>
          <w:b/>
        </w:rPr>
        <w:t>b</w:t>
      </w:r>
      <w:r>
        <w:t xml:space="preserve">) Monte Carlo ensemble of 2000 </w:t>
      </w:r>
      <w:proofErr w:type="spellStart"/>
      <w:r>
        <w:t>quadrimodal</w:t>
      </w:r>
      <w:proofErr w:type="spellEnd"/>
      <w:r>
        <w:t xml:space="preserve"> fault populations (mixtures of four equal Watson distributions), with </w:t>
      </w:r>
      <w:r w:rsidRPr="004F671B">
        <w:rPr>
          <w:rFonts w:ascii="Symbol" w:hAnsi="Symbol"/>
          <w:i/>
        </w:rPr>
        <w:t></w:t>
      </w:r>
      <w:r>
        <w:t xml:space="preserve"> varying from </w:t>
      </w:r>
      <w:proofErr w:type="gramStart"/>
      <w:r>
        <w:t>5</w:t>
      </w:r>
      <w:proofErr w:type="gramEnd"/>
      <w:r>
        <w:t xml:space="preserve"> (dark blue) to 10 (yellow). </w:t>
      </w:r>
      <w:r w:rsidRPr="00C85952">
        <w:rPr>
          <w:b/>
        </w:rPr>
        <w:t>c</w:t>
      </w:r>
      <w:r>
        <w:t xml:space="preserve">) Data from a) and b) merged onto the same plot and enlarged to show the region close to the origin. Note the considerable overlap between the conjugate (bimodal) data with the </w:t>
      </w:r>
      <w:proofErr w:type="spellStart"/>
      <w:r>
        <w:t>quadrimodal</w:t>
      </w:r>
      <w:proofErr w:type="spellEnd"/>
      <w:r>
        <w:t xml:space="preserve"> data, especially for </w:t>
      </w:r>
      <w:r w:rsidRPr="004F671B">
        <w:rPr>
          <w:rFonts w:ascii="Symbol" w:hAnsi="Symbol"/>
          <w:i/>
        </w:rPr>
        <w:t></w:t>
      </w:r>
      <w:r>
        <w:t xml:space="preserve"> = </w:t>
      </w:r>
      <w:proofErr w:type="gramStart"/>
      <w:r>
        <w:t>5</w:t>
      </w:r>
      <w:proofErr w:type="gramEnd"/>
      <w:r>
        <w:t xml:space="preserve"> (dark blue).    </w:t>
      </w:r>
    </w:p>
    <w:p w14:paraId="0CCC102F" w14:textId="3B58872B" w:rsidR="00F97469" w:rsidRDefault="0092600A" w:rsidP="00F97469">
      <w:pPr>
        <w:spacing w:after="200" w:line="276" w:lineRule="auto"/>
        <w:jc w:val="both"/>
      </w:pPr>
      <w:r>
        <w:t xml:space="preserve">To assess the relative performance of the two tests presented in this paper, we generated synthetic bimodal and </w:t>
      </w:r>
      <w:proofErr w:type="spellStart"/>
      <w:r>
        <w:t>quadrimodal</w:t>
      </w:r>
      <w:proofErr w:type="spellEnd"/>
      <w:r>
        <w:t xml:space="preserve"> distributions and compared the resulting p-values from applying both the S</w:t>
      </w:r>
      <w:r w:rsidRPr="0092600A">
        <w:rPr>
          <w:vertAlign w:val="subscript"/>
        </w:rPr>
        <w:t>1</w:t>
      </w:r>
      <w:r>
        <w:t>-S</w:t>
      </w:r>
      <w:r w:rsidRPr="0092600A">
        <w:rPr>
          <w:vertAlign w:val="subscript"/>
        </w:rPr>
        <w:t>3</w:t>
      </w:r>
      <w:r>
        <w:t xml:space="preserve"> and S</w:t>
      </w:r>
      <w:r w:rsidRPr="0092600A">
        <w:rPr>
          <w:vertAlign w:val="subscript"/>
        </w:rPr>
        <w:t>11</w:t>
      </w:r>
      <w:r>
        <w:t>-S</w:t>
      </w:r>
      <w:r w:rsidRPr="0092600A">
        <w:rPr>
          <w:vertAlign w:val="subscript"/>
        </w:rPr>
        <w:t>33</w:t>
      </w:r>
      <w:r>
        <w:t xml:space="preserve"> tests to the same data. The results are shown in Figure 9, displayed as cross-plots of </w:t>
      </w:r>
      <w:proofErr w:type="gramStart"/>
      <w:r>
        <w:t>p(</w:t>
      </w:r>
      <w:proofErr w:type="gramEnd"/>
      <w:r>
        <w:t>S</w:t>
      </w:r>
      <w:r w:rsidRPr="0092600A">
        <w:rPr>
          <w:vertAlign w:val="subscript"/>
        </w:rPr>
        <w:t>1</w:t>
      </w:r>
      <w:r>
        <w:t>-S</w:t>
      </w:r>
      <w:r w:rsidRPr="0092600A">
        <w:rPr>
          <w:vertAlign w:val="subscript"/>
        </w:rPr>
        <w:t>3</w:t>
      </w:r>
      <w:r>
        <w:t>) versus p(S</w:t>
      </w:r>
      <w:r w:rsidRPr="0092600A">
        <w:rPr>
          <w:vertAlign w:val="subscript"/>
        </w:rPr>
        <w:t>11</w:t>
      </w:r>
      <w:r>
        <w:t>-S</w:t>
      </w:r>
      <w:r w:rsidRPr="0092600A">
        <w:rPr>
          <w:vertAlign w:val="subscript"/>
        </w:rPr>
        <w:t>33</w:t>
      </w:r>
      <w:r>
        <w:t xml:space="preserve">). While there is a slight tendency for the p-values from </w:t>
      </w:r>
      <w:r w:rsidR="00D953AE">
        <w:t>the S</w:t>
      </w:r>
      <w:r w:rsidR="00D953AE" w:rsidRPr="00D953AE">
        <w:rPr>
          <w:vertAlign w:val="subscript"/>
        </w:rPr>
        <w:t>11</w:t>
      </w:r>
      <w:r w:rsidR="00D953AE">
        <w:t>-S</w:t>
      </w:r>
      <w:r w:rsidR="00D953AE" w:rsidRPr="00D953AE">
        <w:rPr>
          <w:vertAlign w:val="subscript"/>
        </w:rPr>
        <w:t>33</w:t>
      </w:r>
      <w:r w:rsidR="00D953AE">
        <w:t xml:space="preserve"> test to exceed those of the S</w:t>
      </w:r>
      <w:r w:rsidR="00D953AE" w:rsidRPr="00D953AE">
        <w:rPr>
          <w:vertAlign w:val="subscript"/>
        </w:rPr>
        <w:t>1</w:t>
      </w:r>
      <w:r w:rsidR="00D953AE">
        <w:t>-S</w:t>
      </w:r>
      <w:r w:rsidR="00D953AE" w:rsidRPr="00D953AE">
        <w:rPr>
          <w:vertAlign w:val="subscript"/>
        </w:rPr>
        <w:t>3</w:t>
      </w:r>
      <w:r w:rsidR="00D953AE">
        <w:t xml:space="preserve"> test (i.e. the points tend on average to plot above the 1:1 line), </w:t>
      </w:r>
      <w:proofErr w:type="gramStart"/>
      <w:r w:rsidR="00D953AE">
        <w:t>neither of the tests can be said</w:t>
      </w:r>
      <w:proofErr w:type="gramEnd"/>
      <w:r w:rsidR="00D953AE">
        <w:t xml:space="preserve"> to ‘better’ or more ‘accurate’. We therefore recommend the S</w:t>
      </w:r>
      <w:r w:rsidR="00D953AE" w:rsidRPr="00E63192">
        <w:rPr>
          <w:vertAlign w:val="subscript"/>
        </w:rPr>
        <w:t>1</w:t>
      </w:r>
      <w:r w:rsidR="00D953AE">
        <w:t>-S</w:t>
      </w:r>
      <w:r w:rsidR="00D953AE" w:rsidRPr="00E63192">
        <w:rPr>
          <w:vertAlign w:val="subscript"/>
        </w:rPr>
        <w:t>3</w:t>
      </w:r>
      <w:r w:rsidR="00D953AE">
        <w:t xml:space="preserve"> test as simpler and sufficient. </w:t>
      </w:r>
    </w:p>
    <w:p w14:paraId="293ECFB6" w14:textId="5D89EF37" w:rsidR="00E2531C" w:rsidRDefault="00E2531C" w:rsidP="00E2531C">
      <w:pPr>
        <w:spacing w:after="200" w:line="276" w:lineRule="auto"/>
        <w:jc w:val="both"/>
      </w:pPr>
      <w:r w:rsidRPr="00F97469">
        <w:rPr>
          <w:b/>
        </w:rPr>
        <w:t>Figure 9</w:t>
      </w:r>
      <w:r w:rsidR="00F97469" w:rsidRPr="00F97469">
        <w:rPr>
          <w:b/>
        </w:rPr>
        <w:t>.</w:t>
      </w:r>
      <w:r w:rsidR="00F97469">
        <w:t xml:space="preserve"> </w:t>
      </w:r>
      <w:r w:rsidR="00410F90">
        <w:t xml:space="preserve">Eigenvalue ratio plots comparing the relative performance of the two tests proposed in this paper. </w:t>
      </w:r>
      <w:r w:rsidR="00D17064">
        <w:t xml:space="preserve">The red lines denote p-values for either test at p=0.05, and the diagonal black line is the locus of points where </w:t>
      </w:r>
      <w:proofErr w:type="gramStart"/>
      <w:r w:rsidR="00D17064">
        <w:t>p(</w:t>
      </w:r>
      <w:proofErr w:type="gramEnd"/>
      <w:r w:rsidR="00D17064">
        <w:t>S</w:t>
      </w:r>
      <w:r w:rsidR="00D17064" w:rsidRPr="00E63192">
        <w:rPr>
          <w:vertAlign w:val="subscript"/>
        </w:rPr>
        <w:t>1</w:t>
      </w:r>
      <w:r w:rsidR="00D17064">
        <w:t>-S</w:t>
      </w:r>
      <w:r w:rsidR="00D17064" w:rsidRPr="00E63192">
        <w:rPr>
          <w:vertAlign w:val="subscript"/>
        </w:rPr>
        <w:t>3</w:t>
      </w:r>
      <w:r w:rsidR="00D17064">
        <w:t>) = p(S</w:t>
      </w:r>
      <w:r w:rsidR="00D17064" w:rsidRPr="00E63192">
        <w:rPr>
          <w:vertAlign w:val="subscript"/>
        </w:rPr>
        <w:t>11</w:t>
      </w:r>
      <w:r w:rsidR="00D17064">
        <w:t>-S</w:t>
      </w:r>
      <w:r w:rsidR="00D17064" w:rsidRPr="00E63192">
        <w:rPr>
          <w:vertAlign w:val="subscript"/>
        </w:rPr>
        <w:t>33</w:t>
      </w:r>
      <w:r w:rsidR="00D17064">
        <w:t xml:space="preserve">). </w:t>
      </w:r>
      <w:r w:rsidR="00410F90" w:rsidRPr="00D17064">
        <w:rPr>
          <w:b/>
        </w:rPr>
        <w:t>a</w:t>
      </w:r>
      <w:r w:rsidR="00410F90">
        <w:t>) For bimodal synthetic datasets with size (N) varying from 32-360 and concentration (</w:t>
      </w:r>
      <w:r w:rsidR="00410F90" w:rsidRPr="00E63192">
        <w:rPr>
          <w:rFonts w:ascii="Symbol" w:hAnsi="Symbol"/>
          <w:i/>
        </w:rPr>
        <w:t></w:t>
      </w:r>
      <w:r w:rsidR="00410F90">
        <w:t xml:space="preserve">) varying from 5-100, both tests perform well and reject the majority of </w:t>
      </w:r>
      <w:r w:rsidR="00F60D00">
        <w:t>the datasets (p &gt;&gt; 0.05). The p-</w:t>
      </w:r>
      <w:r w:rsidR="00410F90">
        <w:t>values for the S</w:t>
      </w:r>
      <w:r w:rsidR="00410F90" w:rsidRPr="00E63192">
        <w:rPr>
          <w:vertAlign w:val="subscript"/>
        </w:rPr>
        <w:t>11</w:t>
      </w:r>
      <w:r w:rsidR="00410F90">
        <w:t>-S</w:t>
      </w:r>
      <w:r w:rsidR="00410F90" w:rsidRPr="00E63192">
        <w:rPr>
          <w:vertAlign w:val="subscript"/>
        </w:rPr>
        <w:t>33</w:t>
      </w:r>
      <w:r w:rsidR="00410F90">
        <w:t xml:space="preserve"> test are, on average, slightly higher </w:t>
      </w:r>
      <w:proofErr w:type="gramStart"/>
      <w:r w:rsidR="00410F90">
        <w:t>than those for the S</w:t>
      </w:r>
      <w:r w:rsidR="00410F90" w:rsidRPr="00E63192">
        <w:rPr>
          <w:vertAlign w:val="subscript"/>
        </w:rPr>
        <w:t>1</w:t>
      </w:r>
      <w:r w:rsidR="00410F90">
        <w:t>-S</w:t>
      </w:r>
      <w:r w:rsidR="00410F90" w:rsidRPr="00E63192">
        <w:rPr>
          <w:vertAlign w:val="subscript"/>
        </w:rPr>
        <w:t>3</w:t>
      </w:r>
      <w:r w:rsidR="00410F90">
        <w:t xml:space="preserve"> test</w:t>
      </w:r>
      <w:r w:rsidR="00D17064">
        <w:t xml:space="preserve"> across a range of dataset sizes and concentrations</w:t>
      </w:r>
      <w:proofErr w:type="gramEnd"/>
      <w:r w:rsidR="00D17064">
        <w:t xml:space="preserve">. </w:t>
      </w:r>
      <w:r w:rsidR="00D17064" w:rsidRPr="00D17064">
        <w:rPr>
          <w:b/>
        </w:rPr>
        <w:t>b</w:t>
      </w:r>
      <w:r w:rsidR="00D17064">
        <w:t xml:space="preserve">) For </w:t>
      </w:r>
      <w:proofErr w:type="spellStart"/>
      <w:r w:rsidR="00D17064">
        <w:t>quadrimodal</w:t>
      </w:r>
      <w:proofErr w:type="spellEnd"/>
      <w:r w:rsidR="00D17064">
        <w:t xml:space="preserve"> synthetic datasets, many of the p-values </w:t>
      </w:r>
      <w:r w:rsidR="00C339A7">
        <w:t xml:space="preserve">are &lt; 0.05, and this especially true for the larger datasets (higher N, green/yellow). </w:t>
      </w:r>
      <w:r w:rsidR="006A565D">
        <w:t xml:space="preserve">Smaller datasets (blue) can return p-values &gt; 0.05. </w:t>
      </w:r>
    </w:p>
    <w:p w14:paraId="5ACA4EF5" w14:textId="77777777" w:rsidR="004303B8" w:rsidRDefault="004303B8" w:rsidP="0040478C">
      <w:pPr>
        <w:spacing w:after="200" w:line="276" w:lineRule="auto"/>
        <w:jc w:val="both"/>
      </w:pPr>
    </w:p>
    <w:p w14:paraId="1981CFFC" w14:textId="4965B89D" w:rsidR="005246AD" w:rsidRDefault="000D7E12" w:rsidP="0040478C">
      <w:pPr>
        <w:spacing w:after="200" w:line="276" w:lineRule="auto"/>
        <w:jc w:val="both"/>
        <w:rPr>
          <w:b/>
        </w:rPr>
      </w:pPr>
      <w:r>
        <w:rPr>
          <w:b/>
        </w:rPr>
        <w:t>6</w:t>
      </w:r>
      <w:r w:rsidR="00350784" w:rsidRPr="007C23F5">
        <w:rPr>
          <w:b/>
        </w:rPr>
        <w:t xml:space="preserve">. </w:t>
      </w:r>
      <w:r w:rsidR="00F75054" w:rsidRPr="007C23F5">
        <w:rPr>
          <w:b/>
        </w:rPr>
        <w:t>Summary</w:t>
      </w:r>
    </w:p>
    <w:p w14:paraId="35BD94D9" w14:textId="6AD4B861" w:rsidR="00F75054" w:rsidRPr="005246AD" w:rsidRDefault="005246AD" w:rsidP="00271610">
      <w:pPr>
        <w:spacing w:after="200" w:line="276" w:lineRule="auto"/>
        <w:jc w:val="both"/>
        <w:rPr>
          <w:b/>
        </w:rPr>
      </w:pPr>
      <w:r>
        <w:t>B</w:t>
      </w:r>
      <w:r w:rsidR="00AE232B">
        <w:t>imodal</w:t>
      </w:r>
      <w:r>
        <w:t xml:space="preserve"> (</w:t>
      </w:r>
      <w:r w:rsidR="00AE232B">
        <w:t>conjugate</w:t>
      </w:r>
      <w:r>
        <w:t>)</w:t>
      </w:r>
      <w:r w:rsidR="00AE232B">
        <w:t xml:space="preserve"> fault</w:t>
      </w:r>
      <w:r>
        <w:t xml:space="preserve"> pattern</w:t>
      </w:r>
      <w:r w:rsidR="00AE232B">
        <w:t xml:space="preserve">s form in response to </w:t>
      </w:r>
      <w:r>
        <w:t xml:space="preserve">a bulk plane strain with no extension in the direction parallel to the mutual intersection of the two fault sets. </w:t>
      </w:r>
      <w:proofErr w:type="spellStart"/>
      <w:r>
        <w:t>Q</w:t>
      </w:r>
      <w:r w:rsidR="00AE232B">
        <w:t>uadrimodal</w:t>
      </w:r>
      <w:proofErr w:type="spellEnd"/>
      <w:r w:rsidR="00AE232B">
        <w:t xml:space="preserve"> and </w:t>
      </w:r>
      <w:proofErr w:type="spellStart"/>
      <w:r w:rsidR="00F75054">
        <w:t>polymodal</w:t>
      </w:r>
      <w:proofErr w:type="spellEnd"/>
      <w:r w:rsidR="00F75054">
        <w:t xml:space="preserve"> faults form in response to </w:t>
      </w:r>
      <w:r w:rsidR="00211E68">
        <w:t xml:space="preserve">bulk </w:t>
      </w:r>
      <w:proofErr w:type="spellStart"/>
      <w:r w:rsidR="00F75054">
        <w:t>triaxial</w:t>
      </w:r>
      <w:proofErr w:type="spellEnd"/>
      <w:r w:rsidR="00F75054">
        <w:t xml:space="preserve"> strains</w:t>
      </w:r>
      <w:r w:rsidR="00211E68">
        <w:t xml:space="preserve"> and constitute the more general case for brittle deformation on a curved Earth (Healy et al., 2015). </w:t>
      </w:r>
      <w:r w:rsidR="00271610">
        <w:t>In this contribution, we show that d</w:t>
      </w:r>
      <w:r w:rsidR="00780E52">
        <w:t xml:space="preserve">istinguishing bimodal from </w:t>
      </w:r>
      <w:proofErr w:type="spellStart"/>
      <w:r w:rsidR="00271610">
        <w:t>quadrimodal</w:t>
      </w:r>
      <w:proofErr w:type="spellEnd"/>
      <w:r w:rsidR="00780E52">
        <w:t xml:space="preserve"> fault patterns based on the orientation distribution of their poles can be achieved through the eigenvalues of the </w:t>
      </w:r>
      <w:proofErr w:type="gramStart"/>
      <w:r w:rsidR="00780E52">
        <w:t>2nd</w:t>
      </w:r>
      <w:proofErr w:type="gramEnd"/>
      <w:r w:rsidR="00780E52">
        <w:t xml:space="preserve"> and 4th rank orientation tensor</w:t>
      </w:r>
      <w:r w:rsidR="005173A7">
        <w:t>s</w:t>
      </w:r>
      <w:r w:rsidR="00780E52">
        <w:t xml:space="preserve">. </w:t>
      </w:r>
      <w:r w:rsidR="001C6098">
        <w:t>We present new methods and</w:t>
      </w:r>
      <w:r w:rsidR="00271610">
        <w:t xml:space="preserve"> new</w:t>
      </w:r>
      <w:r w:rsidR="001C6098">
        <w:t xml:space="preserve"> </w:t>
      </w:r>
      <w:r w:rsidR="001D7B78">
        <w:t>open source software written in R to test for these patterns. Tests on synthetic datasets where we controlled the underlying distribution to be either bimodal (</w:t>
      </w:r>
      <w:r w:rsidR="00271610">
        <w:t xml:space="preserve">i.e. </w:t>
      </w:r>
      <w:r w:rsidR="001D7B78">
        <w:t xml:space="preserve">conjugate) or </w:t>
      </w:r>
      <w:proofErr w:type="spellStart"/>
      <w:r w:rsidR="001D7B78">
        <w:t>quadrimodal</w:t>
      </w:r>
      <w:proofErr w:type="spellEnd"/>
      <w:r w:rsidR="001D7B78">
        <w:t xml:space="preserve"> (</w:t>
      </w:r>
      <w:r w:rsidR="00271610">
        <w:t xml:space="preserve">i.e. </w:t>
      </w:r>
      <w:proofErr w:type="spellStart"/>
      <w:r w:rsidR="00271610">
        <w:t>polymodal</w:t>
      </w:r>
      <w:proofErr w:type="spellEnd"/>
      <w:r w:rsidR="00271610">
        <w:t xml:space="preserve">, </w:t>
      </w:r>
      <w:r w:rsidR="001D7B78">
        <w:t xml:space="preserve">orthorhombic) demonstrate that a combination of fabric eigenvalue (modified </w:t>
      </w:r>
      <w:proofErr w:type="spellStart"/>
      <w:r w:rsidR="001D7B78">
        <w:t>Flinn</w:t>
      </w:r>
      <w:proofErr w:type="spellEnd"/>
      <w:r w:rsidR="001D7B78">
        <w:t xml:space="preserve">) plots and our new randomisation tests can succeed. Applying the methods to natural datasets from a variety of extensional normal-fault settings shows that </w:t>
      </w:r>
      <w:proofErr w:type="gramStart"/>
      <w:r w:rsidR="001D7B78">
        <w:t>5</w:t>
      </w:r>
      <w:proofErr w:type="gramEnd"/>
      <w:r w:rsidR="001D7B78">
        <w:t xml:space="preserve"> out of </w:t>
      </w:r>
      <w:r w:rsidR="00431078">
        <w:t xml:space="preserve">the </w:t>
      </w:r>
      <w:r w:rsidR="001D7B78">
        <w:t xml:space="preserve">6 fault patterns </w:t>
      </w:r>
      <w:r w:rsidR="00431078">
        <w:t xml:space="preserve">considered here </w:t>
      </w:r>
      <w:r w:rsidR="001D7B78">
        <w:t xml:space="preserve">are probably </w:t>
      </w:r>
      <w:proofErr w:type="spellStart"/>
      <w:r w:rsidR="001D7B78">
        <w:t>polymodal</w:t>
      </w:r>
      <w:proofErr w:type="spellEnd"/>
      <w:r w:rsidR="001D7B78">
        <w:t xml:space="preserve">. The most tightly constrained natural dataset (Gruinard) </w:t>
      </w:r>
      <w:r w:rsidR="00907A27">
        <w:t xml:space="preserve">displays clear orthorhombic symmetry and </w:t>
      </w:r>
      <w:r w:rsidR="001D7B78">
        <w:t xml:space="preserve">is unequivocally </w:t>
      </w:r>
      <w:proofErr w:type="spellStart"/>
      <w:r w:rsidR="001D7B78">
        <w:t>polymodal</w:t>
      </w:r>
      <w:proofErr w:type="spellEnd"/>
      <w:r w:rsidR="001D7B78">
        <w:t xml:space="preserve">. </w:t>
      </w:r>
      <w:r w:rsidR="005D6F5F">
        <w:t xml:space="preserve">Most map-scale natural faults evolve and grow through interaction, splaying and coalescence, and in some cases through reactivation under stress rotation. Variation within fault orientation datasets is therefore inherent. Statistical tests can help to discern this variation and guide the interpretation of any underlying pattern. </w:t>
      </w:r>
      <w:r w:rsidR="00625B8D">
        <w:t>We encourage other workers to apply these tests to their own data and assess the symmetr</w:t>
      </w:r>
      <w:r w:rsidR="003A0817">
        <w:t xml:space="preserve">y in the brittle fault pattern </w:t>
      </w:r>
      <w:r w:rsidR="00625B8D">
        <w:t xml:space="preserve">and </w:t>
      </w:r>
      <w:r w:rsidR="003A0817">
        <w:t xml:space="preserve">to consider </w:t>
      </w:r>
      <w:r w:rsidR="00625B8D">
        <w:t xml:space="preserve">what this means for the causative deformation. </w:t>
      </w:r>
      <w:r w:rsidR="001D7B78">
        <w:t xml:space="preserve"> </w:t>
      </w:r>
    </w:p>
    <w:p w14:paraId="65BA49D6" w14:textId="77777777" w:rsidR="0081186D" w:rsidRDefault="0081186D" w:rsidP="0040478C">
      <w:pPr>
        <w:spacing w:after="200" w:line="276" w:lineRule="auto"/>
        <w:jc w:val="both"/>
      </w:pPr>
    </w:p>
    <w:p w14:paraId="0A5C696D" w14:textId="545568EC" w:rsidR="00BA7071" w:rsidRDefault="00BA7071" w:rsidP="0040478C">
      <w:pPr>
        <w:spacing w:after="200" w:line="276" w:lineRule="auto"/>
        <w:jc w:val="both"/>
        <w:rPr>
          <w:b/>
        </w:rPr>
      </w:pPr>
      <w:r>
        <w:rPr>
          <w:b/>
        </w:rPr>
        <w:t xml:space="preserve">Author contribution </w:t>
      </w:r>
    </w:p>
    <w:p w14:paraId="6BA70843" w14:textId="4D32351F" w:rsidR="00BA7071" w:rsidRDefault="006C491A" w:rsidP="0040478C">
      <w:pPr>
        <w:spacing w:after="200" w:line="276" w:lineRule="auto"/>
        <w:jc w:val="both"/>
      </w:pPr>
      <w:r w:rsidRPr="006C491A">
        <w:t xml:space="preserve">DH devised the study and PJ </w:t>
      </w:r>
      <w:r>
        <w:t xml:space="preserve">formulated </w:t>
      </w:r>
      <w:r w:rsidRPr="006C491A">
        <w:t xml:space="preserve">the statistical tests and wrote the R code. DH collated the data and wrote the </w:t>
      </w:r>
      <w:proofErr w:type="spellStart"/>
      <w:r w:rsidRPr="006C491A">
        <w:t>ms</w:t>
      </w:r>
      <w:proofErr w:type="spellEnd"/>
      <w:r w:rsidRPr="006C491A">
        <w:t xml:space="preserve">, with input from PJ.  </w:t>
      </w:r>
    </w:p>
    <w:p w14:paraId="4EBCC68C" w14:textId="77777777" w:rsidR="006C491A" w:rsidRPr="006C491A" w:rsidRDefault="006C491A" w:rsidP="0040478C">
      <w:pPr>
        <w:spacing w:after="200" w:line="276" w:lineRule="auto"/>
        <w:jc w:val="both"/>
      </w:pPr>
    </w:p>
    <w:p w14:paraId="1B464BFD" w14:textId="4B0F2D68" w:rsidR="00BA7071" w:rsidRDefault="00BA7071" w:rsidP="0040478C">
      <w:pPr>
        <w:spacing w:after="200" w:line="276" w:lineRule="auto"/>
        <w:jc w:val="both"/>
        <w:rPr>
          <w:b/>
        </w:rPr>
      </w:pPr>
      <w:r>
        <w:rPr>
          <w:b/>
        </w:rPr>
        <w:t xml:space="preserve">Competing interests </w:t>
      </w:r>
    </w:p>
    <w:p w14:paraId="204DBEBB" w14:textId="3D28B08A" w:rsidR="00BA7071" w:rsidRPr="006C491A" w:rsidRDefault="006C491A" w:rsidP="0040478C">
      <w:pPr>
        <w:spacing w:after="200" w:line="276" w:lineRule="auto"/>
        <w:jc w:val="both"/>
      </w:pPr>
      <w:r w:rsidRPr="006C491A">
        <w:t xml:space="preserve">The authors declare that they have no conflict of interest. </w:t>
      </w:r>
    </w:p>
    <w:p w14:paraId="5D097FC3" w14:textId="77777777" w:rsidR="006C491A" w:rsidRPr="006C491A" w:rsidRDefault="006C491A" w:rsidP="0040478C">
      <w:pPr>
        <w:spacing w:after="200" w:line="276" w:lineRule="auto"/>
        <w:jc w:val="both"/>
      </w:pPr>
    </w:p>
    <w:p w14:paraId="18B22F8D" w14:textId="6270543C" w:rsidR="00926C36" w:rsidRPr="003161DB" w:rsidRDefault="00926C36" w:rsidP="0040478C">
      <w:pPr>
        <w:spacing w:after="200" w:line="276" w:lineRule="auto"/>
        <w:jc w:val="both"/>
        <w:rPr>
          <w:b/>
        </w:rPr>
      </w:pPr>
      <w:r w:rsidRPr="003161DB">
        <w:rPr>
          <w:b/>
        </w:rPr>
        <w:t xml:space="preserve">Acknowledgements </w:t>
      </w:r>
    </w:p>
    <w:p w14:paraId="1851CFC6" w14:textId="13715128" w:rsidR="00926C36" w:rsidRDefault="0092409E" w:rsidP="0040478C">
      <w:pPr>
        <w:spacing w:after="200" w:line="276" w:lineRule="auto"/>
        <w:jc w:val="both"/>
      </w:pPr>
      <w:r>
        <w:t xml:space="preserve">DH </w:t>
      </w:r>
      <w:r w:rsidR="00E548FF">
        <w:t xml:space="preserve">gratefully </w:t>
      </w:r>
      <w:r>
        <w:t xml:space="preserve">acknowledges receipt of NERC grant </w:t>
      </w:r>
      <w:r w:rsidR="00AE618E" w:rsidRPr="00AE618E">
        <w:t>NE/N003063/1</w:t>
      </w:r>
      <w:r w:rsidR="00316D7C">
        <w:t>,</w:t>
      </w:r>
      <w:r w:rsidR="001C5F59">
        <w:t xml:space="preserve"> and thanks the School of Geosciences</w:t>
      </w:r>
      <w:r w:rsidR="00786E7F">
        <w:t xml:space="preserve"> at the University of Aberdeen</w:t>
      </w:r>
      <w:r w:rsidR="001C5F59">
        <w:t xml:space="preserve"> for accommodating </w:t>
      </w:r>
      <w:r w:rsidR="00236A32">
        <w:t>a</w:t>
      </w:r>
      <w:r w:rsidR="001C5F59">
        <w:t xml:space="preserve"> period of </w:t>
      </w:r>
      <w:r w:rsidR="008658FB">
        <w:t xml:space="preserve">research </w:t>
      </w:r>
      <w:r w:rsidR="001C5F59">
        <w:t xml:space="preserve">study leave, during which time this paper </w:t>
      </w:r>
      <w:proofErr w:type="gramStart"/>
      <w:r w:rsidR="001C5F59">
        <w:t>was written</w:t>
      </w:r>
      <w:proofErr w:type="gramEnd"/>
      <w:r w:rsidR="001C5F59">
        <w:t xml:space="preserve">. </w:t>
      </w:r>
      <w:r w:rsidR="00981B7E">
        <w:t xml:space="preserve">We thank two anonymous reviewers, </w:t>
      </w:r>
      <w:proofErr w:type="gramStart"/>
      <w:r w:rsidR="00981B7E">
        <w:t>plus</w:t>
      </w:r>
      <w:proofErr w:type="gramEnd"/>
      <w:r w:rsidR="00981B7E">
        <w:t xml:space="preserve"> </w:t>
      </w:r>
      <w:proofErr w:type="spellStart"/>
      <w:r w:rsidR="00981B7E">
        <w:t>Atilla</w:t>
      </w:r>
      <w:proofErr w:type="spellEnd"/>
      <w:r w:rsidR="00981B7E">
        <w:t xml:space="preserve"> Aydin (Stanford) and Nigel Woodcock (Cambridge)</w:t>
      </w:r>
      <w:r w:rsidR="006C491A">
        <w:t>,</w:t>
      </w:r>
      <w:r w:rsidR="00981B7E">
        <w:t xml:space="preserve"> for comments which helped us improve the paper.  </w:t>
      </w:r>
    </w:p>
    <w:p w14:paraId="06D6EF32" w14:textId="159C8AB1" w:rsidR="00926C36" w:rsidRDefault="00926C36" w:rsidP="0040478C">
      <w:pPr>
        <w:spacing w:after="200" w:line="276" w:lineRule="auto"/>
        <w:jc w:val="both"/>
      </w:pPr>
      <w:r>
        <w:t xml:space="preserve"> </w:t>
      </w:r>
    </w:p>
    <w:p w14:paraId="79588FC2" w14:textId="0F84A96A" w:rsidR="007C23F5" w:rsidRPr="007C23F5" w:rsidRDefault="007C23F5" w:rsidP="0040478C">
      <w:pPr>
        <w:spacing w:after="200" w:line="276" w:lineRule="auto"/>
        <w:jc w:val="both"/>
        <w:rPr>
          <w:b/>
        </w:rPr>
      </w:pPr>
      <w:r w:rsidRPr="007C23F5">
        <w:rPr>
          <w:b/>
        </w:rPr>
        <w:t xml:space="preserve">References </w:t>
      </w:r>
    </w:p>
    <w:p w14:paraId="118907E3" w14:textId="15C26684" w:rsidR="009A2EC6" w:rsidRPr="009A2EC6" w:rsidRDefault="00F540EE" w:rsidP="0040478C">
      <w:pPr>
        <w:spacing w:after="200" w:line="276" w:lineRule="auto"/>
        <w:jc w:val="both"/>
      </w:pPr>
      <w:r>
        <w:lastRenderedPageBreak/>
        <w:t xml:space="preserve">Aydin, A., </w:t>
      </w:r>
      <w:r w:rsidR="00264640">
        <w:t>and</w:t>
      </w:r>
      <w:r>
        <w:t xml:space="preserve"> </w:t>
      </w:r>
      <w:proofErr w:type="spellStart"/>
      <w:r>
        <w:t>Reches</w:t>
      </w:r>
      <w:proofErr w:type="spellEnd"/>
      <w:r>
        <w:t>, Z.</w:t>
      </w:r>
      <w:r w:rsidR="00561B59">
        <w:t>E.</w:t>
      </w:r>
      <w:r w:rsidR="00264640">
        <w:t xml:space="preserve">: </w:t>
      </w:r>
      <w:r w:rsidR="009A2EC6" w:rsidRPr="009A2EC6">
        <w:t xml:space="preserve">Number and orientation of fault sets in the field and in experiments. </w:t>
      </w:r>
      <w:r w:rsidR="009A2EC6" w:rsidRPr="009A2EC6">
        <w:rPr>
          <w:i/>
          <w:iCs/>
        </w:rPr>
        <w:t>Geology</w:t>
      </w:r>
      <w:r w:rsidR="009A2EC6" w:rsidRPr="009A2EC6">
        <w:t xml:space="preserve">, </w:t>
      </w:r>
      <w:r w:rsidR="009A2EC6" w:rsidRPr="009A2EC6">
        <w:rPr>
          <w:i/>
          <w:iCs/>
        </w:rPr>
        <w:t>10</w:t>
      </w:r>
      <w:r w:rsidR="009A2EC6" w:rsidRPr="009A2EC6">
        <w:t>(2), 107-112</w:t>
      </w:r>
      <w:r w:rsidR="00264640">
        <w:t>, 1982.</w:t>
      </w:r>
    </w:p>
    <w:p w14:paraId="0CC26764" w14:textId="6D94DB08" w:rsidR="005E32CA" w:rsidRPr="005E32CA" w:rsidRDefault="00F540EE" w:rsidP="0040478C">
      <w:pPr>
        <w:spacing w:after="200" w:line="276" w:lineRule="auto"/>
        <w:jc w:val="both"/>
      </w:pPr>
      <w:r>
        <w:t>Blenkinsop, T. G.</w:t>
      </w:r>
      <w:r w:rsidR="00264640">
        <w:t>.</w:t>
      </w:r>
      <w:proofErr w:type="gramStart"/>
      <w:r w:rsidR="00264640">
        <w:t>:</w:t>
      </w:r>
      <w:proofErr w:type="gramEnd"/>
      <w:r w:rsidR="00264640">
        <w:t xml:space="preserve"> </w:t>
      </w:r>
      <w:r w:rsidR="005E32CA" w:rsidRPr="005E32CA">
        <w:t xml:space="preserve">Relationships between faults, extension fractures and veins, and stress. </w:t>
      </w:r>
      <w:r w:rsidR="005E32CA" w:rsidRPr="005E32CA">
        <w:rPr>
          <w:i/>
          <w:iCs/>
        </w:rPr>
        <w:t>Journal of Structural Geology</w:t>
      </w:r>
      <w:r w:rsidR="005E32CA" w:rsidRPr="005E32CA">
        <w:t xml:space="preserve">, </w:t>
      </w:r>
      <w:r w:rsidR="005E32CA" w:rsidRPr="005E32CA">
        <w:rPr>
          <w:i/>
          <w:iCs/>
        </w:rPr>
        <w:t>30</w:t>
      </w:r>
      <w:r w:rsidR="005E32CA" w:rsidRPr="005E32CA">
        <w:t>(5), 622-632</w:t>
      </w:r>
      <w:r w:rsidR="00264640">
        <w:t xml:space="preserve">, 2008. </w:t>
      </w:r>
    </w:p>
    <w:p w14:paraId="65E84148" w14:textId="5E71B3DB" w:rsidR="004B5F6A" w:rsidRDefault="004B5F6A" w:rsidP="0040478C">
      <w:pPr>
        <w:spacing w:after="200" w:line="276" w:lineRule="auto"/>
        <w:jc w:val="both"/>
      </w:pPr>
      <w:proofErr w:type="spellStart"/>
      <w:r w:rsidRPr="004B5F6A">
        <w:t>Davatzes</w:t>
      </w:r>
      <w:proofErr w:type="spellEnd"/>
      <w:r w:rsidRPr="004B5F6A">
        <w:t xml:space="preserve">, N.C., Aydin, A. and </w:t>
      </w:r>
      <w:proofErr w:type="spellStart"/>
      <w:r w:rsidRPr="004B5F6A">
        <w:t>Eichhubl</w:t>
      </w:r>
      <w:proofErr w:type="spellEnd"/>
      <w:r w:rsidRPr="004B5F6A">
        <w:t>, P.</w:t>
      </w:r>
      <w:r w:rsidR="00264640">
        <w:t xml:space="preserve">: </w:t>
      </w:r>
      <w:r w:rsidRPr="004B5F6A">
        <w:t xml:space="preserve">Overprinting faulting mechanisms during the development of multiple fault sets in sandstone, Chimney Rock fault array, Utah, USA. </w:t>
      </w:r>
      <w:r w:rsidRPr="004B5F6A">
        <w:rPr>
          <w:i/>
          <w:iCs/>
        </w:rPr>
        <w:t>Tectonophysics</w:t>
      </w:r>
      <w:r w:rsidRPr="004B5F6A">
        <w:t xml:space="preserve">, </w:t>
      </w:r>
      <w:r w:rsidRPr="004B5F6A">
        <w:rPr>
          <w:i/>
          <w:iCs/>
        </w:rPr>
        <w:t>363</w:t>
      </w:r>
      <w:r w:rsidRPr="004B5F6A">
        <w:t>(1-2), pp.1-18</w:t>
      </w:r>
      <w:r w:rsidR="00264640">
        <w:t xml:space="preserve">, 2003. </w:t>
      </w:r>
    </w:p>
    <w:p w14:paraId="62E9AEDF" w14:textId="6F6298D6" w:rsidR="00EC3FE4" w:rsidRPr="00EC3FE4" w:rsidRDefault="00EC3FE4" w:rsidP="0040478C">
      <w:pPr>
        <w:spacing w:after="200" w:line="276" w:lineRule="auto"/>
        <w:jc w:val="both"/>
      </w:pPr>
      <w:proofErr w:type="spellStart"/>
      <w:r w:rsidRPr="00EC3FE4">
        <w:t>Ekström</w:t>
      </w:r>
      <w:proofErr w:type="spellEnd"/>
      <w:r w:rsidRPr="00EC3FE4">
        <w:t>, G., Ne</w:t>
      </w:r>
      <w:r w:rsidR="00F540EE">
        <w:t xml:space="preserve">ttles, M., </w:t>
      </w:r>
      <w:r w:rsidR="00264640">
        <w:t xml:space="preserve">and </w:t>
      </w:r>
      <w:proofErr w:type="spellStart"/>
      <w:r w:rsidR="00F540EE">
        <w:t>Dziewoński</w:t>
      </w:r>
      <w:proofErr w:type="spellEnd"/>
      <w:r w:rsidR="00F540EE">
        <w:t>, A. M</w:t>
      </w:r>
      <w:r w:rsidR="00264640">
        <w:t xml:space="preserve">.: </w:t>
      </w:r>
      <w:r w:rsidRPr="00EC3FE4">
        <w:t xml:space="preserve">The global CMT project 2004–2010: Centroid-moment tensors for 13,017 earthquakes. </w:t>
      </w:r>
      <w:r w:rsidRPr="00EC3FE4">
        <w:rPr>
          <w:i/>
          <w:iCs/>
        </w:rPr>
        <w:t>Physics of the Earth and Planetary Interiors</w:t>
      </w:r>
      <w:r w:rsidRPr="00EC3FE4">
        <w:t xml:space="preserve">, </w:t>
      </w:r>
      <w:r w:rsidRPr="00EC3FE4">
        <w:rPr>
          <w:i/>
          <w:iCs/>
        </w:rPr>
        <w:t>200</w:t>
      </w:r>
      <w:r w:rsidRPr="00EC3FE4">
        <w:t>, 1-9</w:t>
      </w:r>
      <w:r w:rsidR="00264640">
        <w:t xml:space="preserve">, 2012. </w:t>
      </w:r>
    </w:p>
    <w:p w14:paraId="6FDA0CDE" w14:textId="4FF465F8" w:rsidR="00CA4B8E" w:rsidRPr="00CA4B8E" w:rsidRDefault="00CA4B8E" w:rsidP="0040478C">
      <w:pPr>
        <w:spacing w:after="200" w:line="276" w:lineRule="auto"/>
        <w:jc w:val="both"/>
      </w:pPr>
      <w:r w:rsidRPr="00CA4B8E">
        <w:t xml:space="preserve">Fisher, N.I., Lewis, T. and </w:t>
      </w:r>
      <w:proofErr w:type="spellStart"/>
      <w:r w:rsidRPr="00CA4B8E">
        <w:t>Embleton</w:t>
      </w:r>
      <w:proofErr w:type="spellEnd"/>
      <w:r w:rsidRPr="00CA4B8E">
        <w:t>, B.J.</w:t>
      </w:r>
      <w:r w:rsidR="000D5F0B">
        <w:t xml:space="preserve">: </w:t>
      </w:r>
      <w:r w:rsidRPr="00CA4B8E">
        <w:rPr>
          <w:i/>
          <w:iCs/>
        </w:rPr>
        <w:t>Statistical analysis of spherical data</w:t>
      </w:r>
      <w:r w:rsidRPr="00CA4B8E">
        <w:t xml:space="preserve">. Cambridge </w:t>
      </w:r>
      <w:r w:rsidR="005965A1">
        <w:t>U</w:t>
      </w:r>
      <w:r w:rsidRPr="00CA4B8E">
        <w:t xml:space="preserve">niversity </w:t>
      </w:r>
      <w:r w:rsidR="005965A1">
        <w:t>P</w:t>
      </w:r>
      <w:r w:rsidRPr="00CA4B8E">
        <w:t>ress</w:t>
      </w:r>
      <w:r w:rsidR="000D5F0B">
        <w:t xml:space="preserve">, 1987. </w:t>
      </w:r>
    </w:p>
    <w:p w14:paraId="341AE680" w14:textId="7819F3D0" w:rsidR="005664E1" w:rsidRPr="005664E1" w:rsidRDefault="005664E1" w:rsidP="0040478C">
      <w:pPr>
        <w:spacing w:after="200" w:line="276" w:lineRule="auto"/>
        <w:jc w:val="both"/>
      </w:pPr>
      <w:proofErr w:type="spellStart"/>
      <w:r w:rsidRPr="005664E1">
        <w:t>Flinn</w:t>
      </w:r>
      <w:proofErr w:type="spellEnd"/>
      <w:r w:rsidRPr="005664E1">
        <w:t>, D.</w:t>
      </w:r>
      <w:r w:rsidR="000D5F0B">
        <w:t xml:space="preserve">: </w:t>
      </w:r>
      <w:r w:rsidRPr="005664E1">
        <w:t xml:space="preserve">On folding during three-dimensional progressive deformation. </w:t>
      </w:r>
      <w:r w:rsidRPr="005664E1">
        <w:rPr>
          <w:i/>
          <w:iCs/>
        </w:rPr>
        <w:t>Quarterly Journal of the Geological Society</w:t>
      </w:r>
      <w:r w:rsidRPr="005664E1">
        <w:t xml:space="preserve">, </w:t>
      </w:r>
      <w:r w:rsidRPr="005664E1">
        <w:rPr>
          <w:i/>
          <w:iCs/>
        </w:rPr>
        <w:t>118</w:t>
      </w:r>
      <w:r w:rsidRPr="005664E1">
        <w:t>(1-4), 385-428</w:t>
      </w:r>
      <w:r w:rsidR="000D5F0B">
        <w:t xml:space="preserve">, 1962. </w:t>
      </w:r>
    </w:p>
    <w:p w14:paraId="5921FE4F" w14:textId="4B5AC8FF" w:rsidR="002C1DBB" w:rsidRPr="002C1DBB" w:rsidRDefault="002C1DBB" w:rsidP="0040478C">
      <w:pPr>
        <w:spacing w:after="200" w:line="276" w:lineRule="auto"/>
        <w:jc w:val="both"/>
      </w:pPr>
      <w:proofErr w:type="spellStart"/>
      <w:r w:rsidRPr="002C1DBB">
        <w:t>Ghaffari</w:t>
      </w:r>
      <w:proofErr w:type="spellEnd"/>
      <w:r w:rsidRPr="002C1DBB">
        <w:t xml:space="preserve">, H. O., </w:t>
      </w:r>
      <w:proofErr w:type="spellStart"/>
      <w:r w:rsidRPr="002C1DBB">
        <w:t>Nasseri</w:t>
      </w:r>
      <w:proofErr w:type="spellEnd"/>
      <w:r w:rsidRPr="002C1DBB">
        <w:t xml:space="preserve">, M. H. B., </w:t>
      </w:r>
      <w:r w:rsidR="000D5F0B">
        <w:t>and</w:t>
      </w:r>
      <w:r w:rsidR="00F540EE">
        <w:t xml:space="preserve"> Young, R. P.</w:t>
      </w:r>
      <w:r w:rsidR="000D5F0B">
        <w:t xml:space="preserve">: </w:t>
      </w:r>
      <w:r w:rsidRPr="002C1DBB">
        <w:t>Faulting of Rocks in a Three-Dimensional Stress Field by Micro-</w:t>
      </w:r>
      <w:proofErr w:type="spellStart"/>
      <w:r w:rsidRPr="002C1DBB">
        <w:t>Anticracks</w:t>
      </w:r>
      <w:proofErr w:type="spellEnd"/>
      <w:r w:rsidRPr="002C1DBB">
        <w:t xml:space="preserve">. </w:t>
      </w:r>
      <w:r w:rsidRPr="002C1DBB">
        <w:rPr>
          <w:i/>
          <w:iCs/>
        </w:rPr>
        <w:t>Scientific reports</w:t>
      </w:r>
      <w:r w:rsidRPr="002C1DBB">
        <w:t xml:space="preserve">, </w:t>
      </w:r>
      <w:r w:rsidRPr="002C1DBB">
        <w:rPr>
          <w:i/>
          <w:iCs/>
        </w:rPr>
        <w:t>4</w:t>
      </w:r>
      <w:r w:rsidRPr="002C1DBB">
        <w:t>, 5011</w:t>
      </w:r>
      <w:r w:rsidR="000D5F0B">
        <w:t>, 2014.</w:t>
      </w:r>
    </w:p>
    <w:p w14:paraId="16AAC7EB" w14:textId="15399D6F" w:rsidR="00D83E8D" w:rsidRPr="00D83E8D" w:rsidRDefault="00D83E8D" w:rsidP="0040478C">
      <w:pPr>
        <w:spacing w:after="200" w:line="276" w:lineRule="auto"/>
        <w:jc w:val="both"/>
      </w:pPr>
      <w:r w:rsidRPr="00D83E8D">
        <w:t xml:space="preserve">Healy, D., Jones, R.R. and </w:t>
      </w:r>
      <w:proofErr w:type="spellStart"/>
      <w:r w:rsidRPr="00D83E8D">
        <w:t>Holdsworth</w:t>
      </w:r>
      <w:proofErr w:type="spellEnd"/>
      <w:r w:rsidRPr="00D83E8D">
        <w:t>, R.E.</w:t>
      </w:r>
      <w:r w:rsidR="000D5F0B">
        <w:t xml:space="preserve">: </w:t>
      </w:r>
      <w:r w:rsidRPr="00D83E8D">
        <w:t xml:space="preserve">Three-dimensional brittle shear fracturing by tensile crack interaction. </w:t>
      </w:r>
      <w:r w:rsidRPr="00D83E8D">
        <w:rPr>
          <w:i/>
          <w:iCs/>
        </w:rPr>
        <w:t>Nature</w:t>
      </w:r>
      <w:r w:rsidRPr="00D83E8D">
        <w:t xml:space="preserve">, </w:t>
      </w:r>
      <w:r w:rsidRPr="00D83E8D">
        <w:rPr>
          <w:i/>
          <w:iCs/>
        </w:rPr>
        <w:t>439</w:t>
      </w:r>
      <w:r w:rsidRPr="00D83E8D">
        <w:t>(7072), pp.64-67</w:t>
      </w:r>
      <w:r w:rsidR="000D5F0B">
        <w:t xml:space="preserve">, 2006a. </w:t>
      </w:r>
    </w:p>
    <w:p w14:paraId="1AF06B8C" w14:textId="4B590DD8" w:rsidR="008F6860" w:rsidRDefault="003B1E0A" w:rsidP="0040478C">
      <w:pPr>
        <w:spacing w:after="200" w:line="276" w:lineRule="auto"/>
        <w:jc w:val="both"/>
      </w:pPr>
      <w:r w:rsidRPr="003B1E0A">
        <w:t xml:space="preserve">Healy, D., Jones, R.R. and </w:t>
      </w:r>
      <w:proofErr w:type="spellStart"/>
      <w:r w:rsidRPr="003B1E0A">
        <w:t>Holdsworth</w:t>
      </w:r>
      <w:proofErr w:type="spellEnd"/>
      <w:r w:rsidRPr="003B1E0A">
        <w:t>, R.E.</w:t>
      </w:r>
      <w:r w:rsidR="000D5F0B">
        <w:t xml:space="preserve">: </w:t>
      </w:r>
      <w:r w:rsidRPr="003B1E0A">
        <w:t xml:space="preserve">New insights into the development of brittle shear fractures from a 3-D numerical model of </w:t>
      </w:r>
      <w:proofErr w:type="spellStart"/>
      <w:r w:rsidRPr="003B1E0A">
        <w:t>microcrack</w:t>
      </w:r>
      <w:proofErr w:type="spellEnd"/>
      <w:r w:rsidRPr="003B1E0A">
        <w:t xml:space="preserve"> interaction. </w:t>
      </w:r>
      <w:r w:rsidRPr="003B1E0A">
        <w:rPr>
          <w:i/>
          <w:iCs/>
        </w:rPr>
        <w:t>Earth and Planetary Science Letters</w:t>
      </w:r>
      <w:r w:rsidRPr="003B1E0A">
        <w:t xml:space="preserve">, </w:t>
      </w:r>
      <w:r w:rsidRPr="003B1E0A">
        <w:rPr>
          <w:i/>
          <w:iCs/>
        </w:rPr>
        <w:t>249</w:t>
      </w:r>
      <w:r w:rsidRPr="003B1E0A">
        <w:t>(1), pp.14-28</w:t>
      </w:r>
      <w:r w:rsidR="000D5F0B">
        <w:t>, 2006b.</w:t>
      </w:r>
    </w:p>
    <w:p w14:paraId="5DEC1DDC" w14:textId="4B90D2EA" w:rsidR="00BC01D4" w:rsidRDefault="00BC01D4" w:rsidP="0040478C">
      <w:pPr>
        <w:spacing w:after="200" w:line="276" w:lineRule="auto"/>
        <w:jc w:val="both"/>
      </w:pPr>
      <w:r w:rsidRPr="00BC01D4">
        <w:t xml:space="preserve">Healy, D., Blenkinsop, T.G., </w:t>
      </w:r>
      <w:proofErr w:type="spellStart"/>
      <w:r w:rsidRPr="00BC01D4">
        <w:t>Timms</w:t>
      </w:r>
      <w:proofErr w:type="spellEnd"/>
      <w:r w:rsidRPr="00BC01D4">
        <w:t>, N.E., Meredith, P.G., Mitchell, T.M. and Cooke, M.L</w:t>
      </w:r>
      <w:r w:rsidR="000D5F0B">
        <w:t xml:space="preserve">.: </w:t>
      </w:r>
      <w:proofErr w:type="spellStart"/>
      <w:r w:rsidRPr="00BC01D4">
        <w:t>Polymodal</w:t>
      </w:r>
      <w:proofErr w:type="spellEnd"/>
      <w:r w:rsidRPr="00BC01D4">
        <w:t xml:space="preserve"> faulting: Time for a new angle on shear failure. </w:t>
      </w:r>
      <w:r w:rsidRPr="00BC01D4">
        <w:rPr>
          <w:i/>
          <w:iCs/>
        </w:rPr>
        <w:t>Journal of Structural Geology</w:t>
      </w:r>
      <w:r w:rsidRPr="00BC01D4">
        <w:t xml:space="preserve">, </w:t>
      </w:r>
      <w:r w:rsidRPr="00BC01D4">
        <w:rPr>
          <w:i/>
          <w:iCs/>
        </w:rPr>
        <w:t>80</w:t>
      </w:r>
      <w:r w:rsidRPr="00BC01D4">
        <w:t>, pp.57-71</w:t>
      </w:r>
      <w:r w:rsidR="000D5F0B">
        <w:t xml:space="preserve">, 2015. </w:t>
      </w:r>
    </w:p>
    <w:p w14:paraId="7AADFCFB" w14:textId="16341535" w:rsidR="00C155FA" w:rsidRPr="00C155FA" w:rsidRDefault="005F04A0" w:rsidP="0040478C">
      <w:pPr>
        <w:spacing w:after="200" w:line="276" w:lineRule="auto"/>
        <w:jc w:val="both"/>
        <w:rPr>
          <w:rFonts w:eastAsia="Times New Roman" w:cs="Times New Roman"/>
          <w:lang w:eastAsia="en-GB"/>
        </w:rPr>
      </w:pPr>
      <w:proofErr w:type="spellStart"/>
      <w:r>
        <w:rPr>
          <w:rFonts w:eastAsia="Times New Roman" w:cs="Times New Roman"/>
          <w:lang w:eastAsia="en-GB"/>
        </w:rPr>
        <w:t>Krantz</w:t>
      </w:r>
      <w:proofErr w:type="spellEnd"/>
      <w:r>
        <w:rPr>
          <w:rFonts w:eastAsia="Times New Roman" w:cs="Times New Roman"/>
          <w:lang w:eastAsia="en-GB"/>
        </w:rPr>
        <w:t>, R. W.</w:t>
      </w:r>
      <w:r w:rsidR="000D5F0B">
        <w:rPr>
          <w:rFonts w:eastAsia="Times New Roman" w:cs="Times New Roman"/>
          <w:lang w:eastAsia="en-GB"/>
        </w:rPr>
        <w:t xml:space="preserve">: </w:t>
      </w:r>
      <w:r w:rsidR="00C155FA" w:rsidRPr="00C155FA">
        <w:rPr>
          <w:rFonts w:eastAsia="Times New Roman" w:cs="Times New Roman"/>
          <w:lang w:eastAsia="en-GB"/>
        </w:rPr>
        <w:t xml:space="preserve">Orthorhombic fault patterns: the odd axis model and slip vector orientations. </w:t>
      </w:r>
      <w:r w:rsidR="00C155FA" w:rsidRPr="00C155FA">
        <w:rPr>
          <w:rFonts w:eastAsia="Times New Roman" w:cs="Times New Roman"/>
          <w:i/>
          <w:iCs/>
          <w:lang w:eastAsia="en-GB"/>
        </w:rPr>
        <w:t>Tectonics</w:t>
      </w:r>
      <w:r w:rsidR="00C155FA" w:rsidRPr="00C155FA">
        <w:rPr>
          <w:rFonts w:eastAsia="Times New Roman" w:cs="Times New Roman"/>
          <w:lang w:eastAsia="en-GB"/>
        </w:rPr>
        <w:t xml:space="preserve">, </w:t>
      </w:r>
      <w:r w:rsidR="00C155FA" w:rsidRPr="00C155FA">
        <w:rPr>
          <w:rFonts w:eastAsia="Times New Roman" w:cs="Times New Roman"/>
          <w:i/>
          <w:iCs/>
          <w:lang w:eastAsia="en-GB"/>
        </w:rPr>
        <w:t>8</w:t>
      </w:r>
      <w:r w:rsidR="00C155FA" w:rsidRPr="00C155FA">
        <w:rPr>
          <w:rFonts w:eastAsia="Times New Roman" w:cs="Times New Roman"/>
          <w:lang w:eastAsia="en-GB"/>
        </w:rPr>
        <w:t>(3), 483-495</w:t>
      </w:r>
      <w:r w:rsidR="000D5F0B">
        <w:rPr>
          <w:rFonts w:eastAsia="Times New Roman" w:cs="Times New Roman"/>
          <w:lang w:eastAsia="en-GB"/>
        </w:rPr>
        <w:t xml:space="preserve">, 1989. </w:t>
      </w:r>
    </w:p>
    <w:p w14:paraId="75723C41" w14:textId="198D3D45" w:rsidR="00497BA1" w:rsidRDefault="005F04A0" w:rsidP="00497BA1">
      <w:pPr>
        <w:spacing w:after="200" w:line="276" w:lineRule="auto"/>
        <w:jc w:val="both"/>
        <w:rPr>
          <w:rFonts w:eastAsia="Times New Roman" w:cs="Times New Roman"/>
          <w:lang w:eastAsia="en-GB"/>
        </w:rPr>
      </w:pPr>
      <w:r>
        <w:rPr>
          <w:rFonts w:eastAsia="Times New Roman" w:cs="Times New Roman"/>
          <w:lang w:eastAsia="en-GB"/>
        </w:rPr>
        <w:t xml:space="preserve">Lisle, R. J., </w:t>
      </w:r>
      <w:r w:rsidR="000D5F0B">
        <w:rPr>
          <w:rFonts w:eastAsia="Times New Roman" w:cs="Times New Roman"/>
          <w:lang w:eastAsia="en-GB"/>
        </w:rPr>
        <w:t>and</w:t>
      </w:r>
      <w:r>
        <w:rPr>
          <w:rFonts w:eastAsia="Times New Roman" w:cs="Times New Roman"/>
          <w:lang w:eastAsia="en-GB"/>
        </w:rPr>
        <w:t xml:space="preserve"> </w:t>
      </w:r>
      <w:proofErr w:type="spellStart"/>
      <w:r>
        <w:rPr>
          <w:rFonts w:eastAsia="Times New Roman" w:cs="Times New Roman"/>
          <w:lang w:eastAsia="en-GB"/>
        </w:rPr>
        <w:t>Leyshon</w:t>
      </w:r>
      <w:proofErr w:type="spellEnd"/>
      <w:r>
        <w:rPr>
          <w:rFonts w:eastAsia="Times New Roman" w:cs="Times New Roman"/>
          <w:lang w:eastAsia="en-GB"/>
        </w:rPr>
        <w:t>, P. R.</w:t>
      </w:r>
      <w:r w:rsidR="000D5F0B">
        <w:rPr>
          <w:rFonts w:eastAsia="Times New Roman" w:cs="Times New Roman"/>
          <w:lang w:eastAsia="en-GB"/>
        </w:rPr>
        <w:t xml:space="preserve">: </w:t>
      </w:r>
      <w:r w:rsidR="003D3876" w:rsidRPr="003D3876">
        <w:rPr>
          <w:rFonts w:eastAsia="Times New Roman" w:cs="Times New Roman"/>
          <w:i/>
          <w:iCs/>
          <w:lang w:eastAsia="en-GB"/>
        </w:rPr>
        <w:t>Stereographic projection techniques for geologists and civil engineers</w:t>
      </w:r>
      <w:r w:rsidR="003D3876" w:rsidRPr="003D3876">
        <w:rPr>
          <w:rFonts w:eastAsia="Times New Roman" w:cs="Times New Roman"/>
          <w:lang w:eastAsia="en-GB"/>
        </w:rPr>
        <w:t>. Cambridge University Press</w:t>
      </w:r>
      <w:r w:rsidR="000D5F0B">
        <w:rPr>
          <w:rFonts w:eastAsia="Times New Roman" w:cs="Times New Roman"/>
          <w:lang w:eastAsia="en-GB"/>
        </w:rPr>
        <w:t xml:space="preserve">, 2004. </w:t>
      </w:r>
    </w:p>
    <w:p w14:paraId="27B26B39" w14:textId="15A13015" w:rsidR="00D4580C" w:rsidRPr="00497BA1" w:rsidRDefault="00D4580C" w:rsidP="00497BA1">
      <w:pPr>
        <w:spacing w:after="200" w:line="276" w:lineRule="auto"/>
        <w:jc w:val="both"/>
        <w:rPr>
          <w:rFonts w:eastAsia="Times New Roman" w:cs="Times New Roman"/>
          <w:lang w:eastAsia="en-GB"/>
        </w:rPr>
      </w:pPr>
      <w:proofErr w:type="spellStart"/>
      <w:r w:rsidRPr="003D3876">
        <w:t>Mardia</w:t>
      </w:r>
      <w:proofErr w:type="spellEnd"/>
      <w:r w:rsidRPr="003D3876">
        <w:t xml:space="preserve">, K.V. </w:t>
      </w:r>
      <w:r w:rsidR="000D5F0B">
        <w:t>and</w:t>
      </w:r>
      <w:r w:rsidR="001C5F59">
        <w:t xml:space="preserve"> Jupp, P.E.</w:t>
      </w:r>
      <w:r w:rsidR="000D5F0B">
        <w:t xml:space="preserve">: </w:t>
      </w:r>
      <w:r w:rsidRPr="003D3876">
        <w:rPr>
          <w:i/>
          <w:iCs/>
        </w:rPr>
        <w:t>Directional statistics</w:t>
      </w:r>
      <w:r w:rsidRPr="003D3876">
        <w:t>. John Wiley &amp; Sons</w:t>
      </w:r>
      <w:r w:rsidR="000D5F0B">
        <w:t xml:space="preserve">, 2000. </w:t>
      </w:r>
    </w:p>
    <w:p w14:paraId="5AAEFADE" w14:textId="6CF71535" w:rsidR="00497BA1" w:rsidRDefault="00497BA1" w:rsidP="00236A32">
      <w:pPr>
        <w:spacing w:after="200" w:line="276" w:lineRule="auto"/>
        <w:jc w:val="both"/>
      </w:pPr>
      <w:r>
        <w:t xml:space="preserve">McCormack, K.D. </w:t>
      </w:r>
      <w:r w:rsidR="000D5F0B">
        <w:t>and</w:t>
      </w:r>
      <w:r>
        <w:t xml:space="preserve"> McClay, K.R.</w:t>
      </w:r>
      <w:r w:rsidR="000D5F0B">
        <w:t xml:space="preserve">: </w:t>
      </w:r>
      <w:r>
        <w:t xml:space="preserve">Orthorhombic faulting in the Beagle Sub-basin, North West Shelf, Australia. </w:t>
      </w:r>
      <w:r>
        <w:rPr>
          <w:i/>
          <w:iCs/>
        </w:rPr>
        <w:t>Geological Society, London, Special Publications</w:t>
      </w:r>
      <w:r>
        <w:t xml:space="preserve">, </w:t>
      </w:r>
      <w:r>
        <w:rPr>
          <w:i/>
          <w:iCs/>
        </w:rPr>
        <w:t>476</w:t>
      </w:r>
      <w:r w:rsidR="000D5F0B">
        <w:t xml:space="preserve">, 2018. </w:t>
      </w:r>
    </w:p>
    <w:p w14:paraId="083E89A0" w14:textId="713B44A8" w:rsidR="000E21D2" w:rsidRPr="000E21D2" w:rsidRDefault="000E21D2" w:rsidP="00236A32">
      <w:pPr>
        <w:spacing w:after="200" w:line="276" w:lineRule="auto"/>
        <w:jc w:val="both"/>
      </w:pPr>
      <w:r w:rsidRPr="000E21D2">
        <w:t>Peacock, D. C. P.,</w:t>
      </w:r>
      <w:r w:rsidR="00F60E66">
        <w:t xml:space="preserve"> </w:t>
      </w:r>
      <w:r w:rsidR="000D5F0B">
        <w:t>and</w:t>
      </w:r>
      <w:r w:rsidR="00F60E66">
        <w:t xml:space="preserve"> Sanderson, D. J.</w:t>
      </w:r>
      <w:r w:rsidR="000D5F0B">
        <w:t xml:space="preserve">: </w:t>
      </w:r>
      <w:r w:rsidRPr="000E21D2">
        <w:t xml:space="preserve">Effects of layering and anisotropy on fault geometry. </w:t>
      </w:r>
      <w:r w:rsidRPr="000E21D2">
        <w:rPr>
          <w:i/>
          <w:iCs/>
        </w:rPr>
        <w:t>Journal of the Geological Society</w:t>
      </w:r>
      <w:r w:rsidRPr="000E21D2">
        <w:t xml:space="preserve">, </w:t>
      </w:r>
      <w:r w:rsidRPr="000E21D2">
        <w:rPr>
          <w:i/>
          <w:iCs/>
        </w:rPr>
        <w:t>149</w:t>
      </w:r>
      <w:r w:rsidRPr="000E21D2">
        <w:t>(5), 793-802</w:t>
      </w:r>
      <w:r w:rsidR="000D5F0B">
        <w:t xml:space="preserve">, 1992. </w:t>
      </w:r>
    </w:p>
    <w:p w14:paraId="2957FEBE" w14:textId="070FB189" w:rsidR="00322A78" w:rsidRPr="00322A78" w:rsidRDefault="00322A78" w:rsidP="00236A32">
      <w:pPr>
        <w:spacing w:after="200" w:line="276" w:lineRule="auto"/>
        <w:jc w:val="both"/>
      </w:pPr>
      <w:r w:rsidRPr="00322A78">
        <w:lastRenderedPageBreak/>
        <w:t>Pot</w:t>
      </w:r>
      <w:r w:rsidR="00F60E66">
        <w:t xml:space="preserve">ts, G. J., </w:t>
      </w:r>
      <w:r w:rsidR="000D5F0B">
        <w:t>and</w:t>
      </w:r>
      <w:r w:rsidR="00F60E66">
        <w:t xml:space="preserve"> Reddy, S. M.</w:t>
      </w:r>
      <w:r w:rsidR="000D5F0B">
        <w:t xml:space="preserve">: </w:t>
      </w:r>
      <w:r w:rsidRPr="00322A78">
        <w:t xml:space="preserve">Application of </w:t>
      </w:r>
      <w:proofErr w:type="spellStart"/>
      <w:r w:rsidRPr="00322A78">
        <w:t>younging</w:t>
      </w:r>
      <w:proofErr w:type="spellEnd"/>
      <w:r w:rsidRPr="00322A78">
        <w:t xml:space="preserve"> tables to the</w:t>
      </w:r>
      <w:r>
        <w:t xml:space="preserve"> construction of relative defor</w:t>
      </w:r>
      <w:r w:rsidR="00F463A1">
        <w:t>m</w:t>
      </w:r>
      <w:r w:rsidRPr="00322A78">
        <w:t xml:space="preserve">ation histories—1: fracture systems. </w:t>
      </w:r>
      <w:r w:rsidRPr="00322A78">
        <w:rPr>
          <w:i/>
          <w:iCs/>
        </w:rPr>
        <w:t>Journal of Structural Geology</w:t>
      </w:r>
      <w:r w:rsidRPr="00322A78">
        <w:t xml:space="preserve">, </w:t>
      </w:r>
      <w:r w:rsidRPr="00322A78">
        <w:rPr>
          <w:i/>
          <w:iCs/>
        </w:rPr>
        <w:t>22</w:t>
      </w:r>
      <w:r w:rsidRPr="00322A78">
        <w:t>(10), 1473-1490</w:t>
      </w:r>
      <w:r w:rsidR="000D5F0B">
        <w:t xml:space="preserve">, 2000. </w:t>
      </w:r>
    </w:p>
    <w:p w14:paraId="5E9B285B" w14:textId="52F0D2EC" w:rsidR="00233C1F" w:rsidRDefault="00F60E66" w:rsidP="00236A32">
      <w:pPr>
        <w:spacing w:after="200" w:line="276" w:lineRule="auto"/>
      </w:pPr>
      <w:r>
        <w:rPr>
          <w:rFonts w:eastAsia="Times New Roman"/>
        </w:rPr>
        <w:t>R Core Team</w:t>
      </w:r>
      <w:r w:rsidR="000D5F0B">
        <w:rPr>
          <w:rFonts w:eastAsia="Times New Roman"/>
        </w:rPr>
        <w:t xml:space="preserve">: </w:t>
      </w:r>
      <w:r w:rsidR="00233C1F">
        <w:rPr>
          <w:rFonts w:eastAsia="Times New Roman"/>
          <w:i/>
          <w:iCs/>
        </w:rPr>
        <w:t>R: A language and environment for statistical computing</w:t>
      </w:r>
      <w:r w:rsidR="00233C1F">
        <w:rPr>
          <w:rFonts w:eastAsia="Times New Roman"/>
        </w:rPr>
        <w:t xml:space="preserve">. R Foundation for Statistical Computing, Vienna, Austria. URL </w:t>
      </w:r>
      <w:hyperlink r:id="rId10" w:history="1">
        <w:r w:rsidR="00233C1F">
          <w:rPr>
            <w:rStyle w:val="Hyperlink"/>
            <w:rFonts w:eastAsia="Times New Roman"/>
          </w:rPr>
          <w:t>https://www.R-project.org/</w:t>
        </w:r>
      </w:hyperlink>
      <w:r w:rsidR="000D5F0B">
        <w:t xml:space="preserve">, 2017. </w:t>
      </w:r>
    </w:p>
    <w:p w14:paraId="61F7F13A" w14:textId="6E4F05D2" w:rsidR="003406D6" w:rsidRDefault="005F04A0" w:rsidP="00236A32">
      <w:pPr>
        <w:spacing w:after="200" w:line="276" w:lineRule="auto"/>
      </w:pPr>
      <w:r>
        <w:t>Ramsay, J.</w:t>
      </w:r>
      <w:r w:rsidR="000D5F0B">
        <w:t xml:space="preserve">: </w:t>
      </w:r>
      <w:r w:rsidR="003406D6" w:rsidRPr="003406D6">
        <w:t>Folding and fracturing of rocks</w:t>
      </w:r>
      <w:r w:rsidR="000D5F0B">
        <w:t>, 1967.</w:t>
      </w:r>
    </w:p>
    <w:p w14:paraId="4038C24A" w14:textId="734BF525" w:rsidR="003A45CB" w:rsidRDefault="005F04A0" w:rsidP="00236A32">
      <w:pPr>
        <w:spacing w:after="200" w:line="276" w:lineRule="auto"/>
        <w:jc w:val="both"/>
      </w:pPr>
      <w:proofErr w:type="spellStart"/>
      <w:r>
        <w:t>Reches</w:t>
      </w:r>
      <w:proofErr w:type="spellEnd"/>
      <w:r>
        <w:t>, Z. E.</w:t>
      </w:r>
      <w:r w:rsidR="00561B59">
        <w:t xml:space="preserve">: </w:t>
      </w:r>
      <w:r w:rsidR="003A45CB" w:rsidRPr="003A45CB">
        <w:t xml:space="preserve">Analysis of faulting in three-dimensional strain field. </w:t>
      </w:r>
      <w:r w:rsidR="003A45CB" w:rsidRPr="003A45CB">
        <w:rPr>
          <w:i/>
          <w:iCs/>
        </w:rPr>
        <w:t>Tectonophysics</w:t>
      </w:r>
      <w:r w:rsidR="003A45CB" w:rsidRPr="003A45CB">
        <w:t xml:space="preserve">, </w:t>
      </w:r>
      <w:r w:rsidR="003A45CB" w:rsidRPr="003A45CB">
        <w:rPr>
          <w:i/>
          <w:iCs/>
        </w:rPr>
        <w:t>47</w:t>
      </w:r>
      <w:r w:rsidR="003A45CB" w:rsidRPr="003A45CB">
        <w:t>(1-2), 109-129</w:t>
      </w:r>
      <w:r w:rsidR="00561B59">
        <w:t>, 1978.</w:t>
      </w:r>
    </w:p>
    <w:p w14:paraId="3FB5CEF4" w14:textId="0FD34751" w:rsidR="00B51CCC" w:rsidRPr="00B51CCC" w:rsidRDefault="005F04A0" w:rsidP="0040478C">
      <w:pPr>
        <w:spacing w:after="200" w:line="276" w:lineRule="auto"/>
        <w:jc w:val="both"/>
      </w:pPr>
      <w:proofErr w:type="spellStart"/>
      <w:r>
        <w:t>Reches</w:t>
      </w:r>
      <w:proofErr w:type="spellEnd"/>
      <w:r>
        <w:t>, Z. E.</w:t>
      </w:r>
      <w:r w:rsidR="00561B59">
        <w:t xml:space="preserve">: </w:t>
      </w:r>
      <w:r w:rsidR="00B51CCC" w:rsidRPr="00B51CCC">
        <w:t xml:space="preserve">Faulting of rocks in three-dimensional strain fields II. Theoretical analysis. </w:t>
      </w:r>
      <w:r w:rsidR="00B51CCC" w:rsidRPr="00B51CCC">
        <w:rPr>
          <w:i/>
          <w:iCs/>
        </w:rPr>
        <w:t>Tectonophysics</w:t>
      </w:r>
      <w:r w:rsidR="00B51CCC" w:rsidRPr="00B51CCC">
        <w:t xml:space="preserve">, </w:t>
      </w:r>
      <w:r w:rsidR="00B51CCC" w:rsidRPr="00B51CCC">
        <w:rPr>
          <w:i/>
          <w:iCs/>
        </w:rPr>
        <w:t>95</w:t>
      </w:r>
      <w:r w:rsidR="00B51CCC" w:rsidRPr="00B51CCC">
        <w:t>(1-2), 133-156</w:t>
      </w:r>
      <w:r w:rsidR="00561B59">
        <w:t xml:space="preserve">, 1983. </w:t>
      </w:r>
    </w:p>
    <w:p w14:paraId="091D58C6" w14:textId="2222855F" w:rsidR="000A1ED4" w:rsidRPr="000A1ED4" w:rsidRDefault="000A1ED4" w:rsidP="0040478C">
      <w:pPr>
        <w:spacing w:after="200" w:line="276" w:lineRule="auto"/>
        <w:jc w:val="both"/>
      </w:pPr>
      <w:proofErr w:type="spellStart"/>
      <w:r w:rsidRPr="000A1ED4">
        <w:t>Reches</w:t>
      </w:r>
      <w:proofErr w:type="spellEnd"/>
      <w:r w:rsidRPr="000A1ED4">
        <w:t xml:space="preserve">, Z. E., </w:t>
      </w:r>
      <w:r w:rsidR="00561B59">
        <w:t>and</w:t>
      </w:r>
      <w:r w:rsidRPr="000A1ED4">
        <w:t xml:space="preserve"> </w:t>
      </w:r>
      <w:proofErr w:type="spellStart"/>
      <w:r w:rsidRPr="000A1ED4">
        <w:t>Dieterich</w:t>
      </w:r>
      <w:proofErr w:type="spellEnd"/>
      <w:r w:rsidRPr="000A1ED4">
        <w:t>, J. H.</w:t>
      </w:r>
      <w:r w:rsidR="00561B59">
        <w:t xml:space="preserve">: </w:t>
      </w:r>
      <w:r w:rsidRPr="000A1ED4">
        <w:t xml:space="preserve">Faulting of rocks in three-dimensional strain fields I. Failure of rocks in </w:t>
      </w:r>
      <w:proofErr w:type="spellStart"/>
      <w:r w:rsidRPr="000A1ED4">
        <w:t>polyaxial</w:t>
      </w:r>
      <w:proofErr w:type="spellEnd"/>
      <w:r w:rsidRPr="000A1ED4">
        <w:t xml:space="preserve">, servo-control experiments. </w:t>
      </w:r>
      <w:r w:rsidRPr="000A1ED4">
        <w:rPr>
          <w:i/>
          <w:iCs/>
        </w:rPr>
        <w:t>Tectonophysics</w:t>
      </w:r>
      <w:r w:rsidRPr="000A1ED4">
        <w:t xml:space="preserve">, </w:t>
      </w:r>
      <w:r w:rsidRPr="000A1ED4">
        <w:rPr>
          <w:i/>
          <w:iCs/>
        </w:rPr>
        <w:t>95</w:t>
      </w:r>
      <w:r w:rsidRPr="000A1ED4">
        <w:t>(1-2), 111-132</w:t>
      </w:r>
      <w:r w:rsidR="00561B59">
        <w:t>, 1983.</w:t>
      </w:r>
    </w:p>
    <w:p w14:paraId="15A9C5B9" w14:textId="44B2931D" w:rsidR="00480958" w:rsidRDefault="005F04A0" w:rsidP="0040478C">
      <w:pPr>
        <w:spacing w:after="200" w:line="276" w:lineRule="auto"/>
        <w:jc w:val="both"/>
      </w:pPr>
      <w:r>
        <w:t>Roberts, G. P.</w:t>
      </w:r>
      <w:r w:rsidR="00561B59">
        <w:t xml:space="preserve">: </w:t>
      </w:r>
      <w:r w:rsidR="00480958" w:rsidRPr="00480958">
        <w:t xml:space="preserve">Fault orientation variations along the strike of active normal fault systems in Italy and Greece: Implications for predicting the orientations of </w:t>
      </w:r>
      <w:proofErr w:type="spellStart"/>
      <w:r w:rsidR="00480958" w:rsidRPr="00480958">
        <w:t>subseismic</w:t>
      </w:r>
      <w:proofErr w:type="spellEnd"/>
      <w:r w:rsidR="00480958" w:rsidRPr="00480958">
        <w:t xml:space="preserve">-resolution faults in hydrocarbon reservoirs. </w:t>
      </w:r>
      <w:r w:rsidR="00480958" w:rsidRPr="00480958">
        <w:rPr>
          <w:i/>
          <w:iCs/>
        </w:rPr>
        <w:t>AAPG bulletin</w:t>
      </w:r>
      <w:r w:rsidR="00480958" w:rsidRPr="00480958">
        <w:t xml:space="preserve">, </w:t>
      </w:r>
      <w:r w:rsidR="00480958" w:rsidRPr="00480958">
        <w:rPr>
          <w:i/>
          <w:iCs/>
        </w:rPr>
        <w:t>91</w:t>
      </w:r>
      <w:r w:rsidR="00480958" w:rsidRPr="00480958">
        <w:t>(1), 1-20</w:t>
      </w:r>
      <w:r w:rsidR="00561B59">
        <w:t>, 2007.</w:t>
      </w:r>
    </w:p>
    <w:p w14:paraId="0A736027" w14:textId="361180DE" w:rsidR="00D53417" w:rsidRPr="00D53417" w:rsidRDefault="005F04A0" w:rsidP="0040478C">
      <w:pPr>
        <w:spacing w:after="200" w:line="276" w:lineRule="auto"/>
        <w:jc w:val="both"/>
      </w:pPr>
      <w:proofErr w:type="spellStart"/>
      <w:r>
        <w:t>Scheidegger</w:t>
      </w:r>
      <w:proofErr w:type="spellEnd"/>
      <w:r>
        <w:t>, A. E.</w:t>
      </w:r>
      <w:r w:rsidR="00561B59">
        <w:t xml:space="preserve">: </w:t>
      </w:r>
      <w:r w:rsidR="00D53417" w:rsidRPr="00D53417">
        <w:t xml:space="preserve">On the statistics of the orientation of bedding planes, grain axes, and similar </w:t>
      </w:r>
      <w:proofErr w:type="spellStart"/>
      <w:r w:rsidR="00D53417" w:rsidRPr="00D53417">
        <w:t>sedimentological</w:t>
      </w:r>
      <w:proofErr w:type="spellEnd"/>
      <w:r w:rsidR="00D53417" w:rsidRPr="00D53417">
        <w:t xml:space="preserve"> data. </w:t>
      </w:r>
      <w:r w:rsidR="00D53417" w:rsidRPr="00D53417">
        <w:rPr>
          <w:i/>
          <w:iCs/>
        </w:rPr>
        <w:t>US Geological Survey Professional Paper</w:t>
      </w:r>
      <w:r w:rsidR="00D53417" w:rsidRPr="00D53417">
        <w:t xml:space="preserve">, </w:t>
      </w:r>
      <w:r w:rsidR="00D53417" w:rsidRPr="00D53417">
        <w:rPr>
          <w:i/>
          <w:iCs/>
        </w:rPr>
        <w:t>525</w:t>
      </w:r>
      <w:r w:rsidR="00D53417" w:rsidRPr="00D53417">
        <w:t>, 164-167</w:t>
      </w:r>
      <w:r w:rsidR="00561B59">
        <w:t>, 1965.</w:t>
      </w:r>
    </w:p>
    <w:p w14:paraId="0EDA1912" w14:textId="30364E3E" w:rsidR="006F32E3" w:rsidRPr="006F32E3" w:rsidRDefault="006F32E3" w:rsidP="0040478C">
      <w:pPr>
        <w:spacing w:after="200" w:line="276" w:lineRule="auto"/>
        <w:jc w:val="both"/>
      </w:pPr>
      <w:r w:rsidRPr="006F32E3">
        <w:t>Woodcock, N.H.</w:t>
      </w:r>
      <w:r w:rsidR="00561B59">
        <w:t xml:space="preserve">: </w:t>
      </w:r>
      <w:r w:rsidRPr="006F32E3">
        <w:t xml:space="preserve">Specification of fabric shapes using an eigenvalue method. </w:t>
      </w:r>
      <w:r w:rsidRPr="006F32E3">
        <w:rPr>
          <w:i/>
          <w:iCs/>
        </w:rPr>
        <w:t>Geological Society of America Bulletin</w:t>
      </w:r>
      <w:r w:rsidRPr="006F32E3">
        <w:t xml:space="preserve">, </w:t>
      </w:r>
      <w:r w:rsidRPr="006F32E3">
        <w:rPr>
          <w:i/>
          <w:iCs/>
        </w:rPr>
        <w:t>88</w:t>
      </w:r>
      <w:r w:rsidRPr="006F32E3">
        <w:t>(9), pp.1231-1236</w:t>
      </w:r>
      <w:r w:rsidR="00561B59">
        <w:t xml:space="preserve">, 1977. </w:t>
      </w:r>
    </w:p>
    <w:p w14:paraId="6B5CC608" w14:textId="773A985F" w:rsidR="008C0CDB" w:rsidRDefault="003132DC" w:rsidP="0040478C">
      <w:pPr>
        <w:spacing w:after="200" w:line="276" w:lineRule="auto"/>
        <w:jc w:val="both"/>
      </w:pPr>
      <w:r>
        <w:t>Yielding, G.</w:t>
      </w:r>
      <w:r w:rsidR="00561B59">
        <w:t xml:space="preserve">: </w:t>
      </w:r>
      <w:r w:rsidR="00A426AD">
        <w:t xml:space="preserve">The geometry of branch lines.  </w:t>
      </w:r>
      <w:r w:rsidR="003A487F">
        <w:t xml:space="preserve">In: Childs, C., </w:t>
      </w:r>
      <w:proofErr w:type="spellStart"/>
      <w:r w:rsidR="003A487F">
        <w:t>Holdsworth</w:t>
      </w:r>
      <w:proofErr w:type="spellEnd"/>
      <w:r w:rsidR="003A487F">
        <w:t xml:space="preserve">, R. E., Jackson, C. A.-L., </w:t>
      </w:r>
      <w:proofErr w:type="spellStart"/>
      <w:r w:rsidR="003A487F">
        <w:t>Manzocchi</w:t>
      </w:r>
      <w:proofErr w:type="spellEnd"/>
      <w:r w:rsidR="003A487F">
        <w:t>, T., Walsh, J. J. &amp; Yielding, G. (</w:t>
      </w:r>
      <w:proofErr w:type="spellStart"/>
      <w:r w:rsidR="003A487F">
        <w:t>eds</w:t>
      </w:r>
      <w:proofErr w:type="spellEnd"/>
      <w:r w:rsidR="003A487F">
        <w:t xml:space="preserve">). </w:t>
      </w:r>
      <w:r w:rsidR="003A487F" w:rsidRPr="00410F90">
        <w:rPr>
          <w:i/>
        </w:rPr>
        <w:t>The Geometry and Growth of Normal Faults</w:t>
      </w:r>
      <w:r w:rsidR="003A487F">
        <w:t>. Geological Society, London, Special Publications, 4</w:t>
      </w:r>
      <w:r w:rsidR="00CC63AB">
        <w:t>39</w:t>
      </w:r>
      <w:r w:rsidR="00561B59">
        <w:t>, 2016.</w:t>
      </w:r>
    </w:p>
    <w:p w14:paraId="5F941409" w14:textId="7B00704E" w:rsidR="00082C98" w:rsidRDefault="00082C98" w:rsidP="0040478C">
      <w:pPr>
        <w:spacing w:after="200" w:line="276" w:lineRule="auto"/>
        <w:jc w:val="both"/>
      </w:pPr>
    </w:p>
    <w:tbl>
      <w:tblPr>
        <w:tblStyle w:val="GridTable2-Accent11"/>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693"/>
        <w:gridCol w:w="615"/>
        <w:gridCol w:w="811"/>
        <w:gridCol w:w="992"/>
        <w:gridCol w:w="1548"/>
        <w:gridCol w:w="1004"/>
        <w:gridCol w:w="1559"/>
      </w:tblGrid>
      <w:tr w:rsidR="00D00979" w:rsidRPr="006312ED" w14:paraId="13671C2F" w14:textId="77777777" w:rsidTr="00161D4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3" w:type="dxa"/>
            <w:vMerge w:val="restart"/>
            <w:shd w:val="clear" w:color="auto" w:fill="95B3D7" w:themeFill="accent1" w:themeFillTint="99"/>
          </w:tcPr>
          <w:p w14:paraId="2F5C47BD" w14:textId="77777777" w:rsidR="00D00979" w:rsidRPr="006312ED" w:rsidRDefault="00D00979" w:rsidP="00161D46">
            <w:pPr>
              <w:spacing w:after="80"/>
              <w:jc w:val="both"/>
              <w:rPr>
                <w:rFonts w:eastAsiaTheme="minorEastAsia"/>
                <w:lang w:val="en-US"/>
              </w:rPr>
            </w:pPr>
            <w:r w:rsidRPr="006312ED">
              <w:rPr>
                <w:rFonts w:eastAsiaTheme="minorEastAsia"/>
                <w:lang w:val="en-US"/>
              </w:rPr>
              <w:t>True number</w:t>
            </w:r>
          </w:p>
          <w:p w14:paraId="0238E8E4" w14:textId="77777777" w:rsidR="00D00979" w:rsidRPr="006312ED" w:rsidRDefault="00D00979" w:rsidP="00161D46">
            <w:pPr>
              <w:spacing w:after="80"/>
              <w:jc w:val="both"/>
              <w:rPr>
                <w:rFonts w:eastAsiaTheme="minorEastAsia"/>
                <w:lang w:val="en-US"/>
              </w:rPr>
            </w:pPr>
            <w:r w:rsidRPr="006312ED">
              <w:rPr>
                <w:rFonts w:eastAsiaTheme="minorEastAsia"/>
                <w:lang w:val="en-US"/>
              </w:rPr>
              <w:t>of modes</w:t>
            </w:r>
          </w:p>
        </w:tc>
        <w:tc>
          <w:tcPr>
            <w:tcW w:w="615" w:type="dxa"/>
            <w:shd w:val="clear" w:color="auto" w:fill="95B3D7" w:themeFill="accent1" w:themeFillTint="99"/>
          </w:tcPr>
          <w:p w14:paraId="5C4B3464" w14:textId="77777777" w:rsidR="00D00979" w:rsidRPr="006312ED" w:rsidRDefault="00D00979" w:rsidP="00161D46">
            <w:pPr>
              <w:spacing w:after="80"/>
              <w:jc w:val="both"/>
              <w:cnfStyle w:val="100000000000" w:firstRow="1" w:lastRow="0" w:firstColumn="0" w:lastColumn="0" w:oddVBand="0" w:evenVBand="0" w:oddHBand="0" w:evenHBand="0" w:firstRowFirstColumn="0" w:firstRowLastColumn="0" w:lastRowFirstColumn="0" w:lastRowLastColumn="0"/>
              <w:rPr>
                <w:rFonts w:eastAsiaTheme="minorEastAsia"/>
                <w:i/>
                <w:lang w:val="en-US"/>
              </w:rPr>
            </w:pPr>
          </w:p>
        </w:tc>
        <w:tc>
          <w:tcPr>
            <w:tcW w:w="811" w:type="dxa"/>
            <w:shd w:val="clear" w:color="auto" w:fill="95B3D7" w:themeFill="accent1" w:themeFillTint="99"/>
          </w:tcPr>
          <w:p w14:paraId="4C25B7B2" w14:textId="77777777" w:rsidR="00D00979" w:rsidRPr="006312ED" w:rsidRDefault="00D00979" w:rsidP="00161D46">
            <w:pPr>
              <w:spacing w:after="80"/>
              <w:jc w:val="right"/>
              <w:cnfStyle w:val="100000000000" w:firstRow="1" w:lastRow="0" w:firstColumn="0" w:lastColumn="0" w:oddVBand="0" w:evenVBand="0" w:oddHBand="0" w:evenHBand="0" w:firstRowFirstColumn="0" w:firstRowLastColumn="0" w:lastRowFirstColumn="0" w:lastRowLastColumn="0"/>
              <w:rPr>
                <w:rFonts w:eastAsiaTheme="minorEastAsia"/>
                <w:i/>
                <w:lang w:val="en-US"/>
              </w:rPr>
            </w:pPr>
          </w:p>
        </w:tc>
        <w:tc>
          <w:tcPr>
            <w:tcW w:w="2540" w:type="dxa"/>
            <w:gridSpan w:val="2"/>
            <w:shd w:val="clear" w:color="auto" w:fill="95B3D7" w:themeFill="accent1" w:themeFillTint="99"/>
          </w:tcPr>
          <w:p w14:paraId="5E051090" w14:textId="77777777" w:rsidR="00D00979" w:rsidRPr="006312ED" w:rsidRDefault="00D00979" w:rsidP="00161D46">
            <w:pPr>
              <w:spacing w:after="80"/>
              <w:jc w:val="both"/>
              <w:cnfStyle w:val="100000000000" w:firstRow="1" w:lastRow="0" w:firstColumn="0" w:lastColumn="0" w:oddVBand="0" w:evenVBand="0" w:oddHBand="0" w:evenHBand="0" w:firstRowFirstColumn="0" w:firstRowLastColumn="0" w:lastRowFirstColumn="0" w:lastRowLastColumn="0"/>
              <w:rPr>
                <w:rFonts w:eastAsiaTheme="minorEastAsia"/>
                <w:lang w:val="en-US"/>
              </w:rPr>
            </w:pPr>
            <w:r w:rsidRPr="006312ED">
              <w:rPr>
                <w:rFonts w:eastAsiaTheme="minorEastAsia"/>
                <w:i/>
                <w:lang w:val="en-US"/>
              </w:rPr>
              <w:t>S</w:t>
            </w:r>
            <w:r w:rsidRPr="006312ED">
              <w:rPr>
                <w:rFonts w:eastAsiaTheme="minorEastAsia"/>
                <w:vertAlign w:val="subscript"/>
                <w:lang w:val="en-US"/>
              </w:rPr>
              <w:t>1</w:t>
            </w:r>
            <w:r w:rsidRPr="006312ED">
              <w:rPr>
                <w:rFonts w:eastAsiaTheme="minorEastAsia"/>
                <w:lang w:val="en-US"/>
              </w:rPr>
              <w:t xml:space="preserve"> </w:t>
            </w:r>
            <w:r w:rsidRPr="006312ED">
              <w:rPr>
                <w:rFonts w:eastAsiaTheme="minorEastAsia"/>
                <w:lang w:val="en-US"/>
              </w:rPr>
              <w:sym w:font="Symbol" w:char="F02D"/>
            </w:r>
            <w:r w:rsidRPr="006312ED">
              <w:rPr>
                <w:rFonts w:eastAsiaTheme="minorEastAsia"/>
                <w:lang w:val="en-US"/>
              </w:rPr>
              <w:t xml:space="preserve"> </w:t>
            </w:r>
            <w:r w:rsidRPr="006312ED">
              <w:rPr>
                <w:rFonts w:eastAsiaTheme="minorEastAsia"/>
                <w:i/>
                <w:lang w:val="en-US"/>
              </w:rPr>
              <w:t>S</w:t>
            </w:r>
            <w:r w:rsidRPr="006312ED">
              <w:rPr>
                <w:rFonts w:eastAsiaTheme="minorEastAsia"/>
                <w:vertAlign w:val="subscript"/>
                <w:lang w:val="en-US"/>
              </w:rPr>
              <w:t>3</w:t>
            </w:r>
            <w:r w:rsidRPr="006312ED">
              <w:rPr>
                <w:rFonts w:eastAsiaTheme="minorEastAsia"/>
                <w:lang w:val="en-US"/>
              </w:rPr>
              <w:t xml:space="preserve"> test</w:t>
            </w:r>
          </w:p>
        </w:tc>
        <w:tc>
          <w:tcPr>
            <w:tcW w:w="2563" w:type="dxa"/>
            <w:gridSpan w:val="2"/>
            <w:shd w:val="clear" w:color="auto" w:fill="95B3D7" w:themeFill="accent1" w:themeFillTint="99"/>
          </w:tcPr>
          <w:p w14:paraId="0359498B" w14:textId="77777777" w:rsidR="00D00979" w:rsidRPr="006312ED" w:rsidRDefault="00D00979" w:rsidP="00161D46">
            <w:pPr>
              <w:spacing w:after="80"/>
              <w:jc w:val="both"/>
              <w:cnfStyle w:val="100000000000" w:firstRow="1" w:lastRow="0" w:firstColumn="0" w:lastColumn="0" w:oddVBand="0" w:evenVBand="0" w:oddHBand="0" w:evenHBand="0" w:firstRowFirstColumn="0" w:firstRowLastColumn="0" w:lastRowFirstColumn="0" w:lastRowLastColumn="0"/>
              <w:rPr>
                <w:rFonts w:eastAsiaTheme="minorEastAsia"/>
                <w:lang w:val="en-US"/>
              </w:rPr>
            </w:pPr>
            <w:r w:rsidRPr="006312ED">
              <w:rPr>
                <w:rFonts w:eastAsiaTheme="minorEastAsia"/>
                <w:i/>
                <w:lang w:val="en-US"/>
              </w:rPr>
              <w:t>S</w:t>
            </w:r>
            <w:r w:rsidRPr="006312ED">
              <w:rPr>
                <w:rFonts w:eastAsiaTheme="minorEastAsia"/>
                <w:vertAlign w:val="subscript"/>
                <w:lang w:val="en-US"/>
              </w:rPr>
              <w:t>11</w:t>
            </w:r>
            <w:r w:rsidRPr="006312ED">
              <w:rPr>
                <w:rFonts w:eastAsiaTheme="minorEastAsia"/>
                <w:lang w:val="en-US"/>
              </w:rPr>
              <w:t xml:space="preserve"> </w:t>
            </w:r>
            <w:r w:rsidRPr="006312ED">
              <w:rPr>
                <w:rFonts w:eastAsiaTheme="minorEastAsia"/>
                <w:lang w:val="en-US"/>
              </w:rPr>
              <w:sym w:font="Symbol" w:char="F02D"/>
            </w:r>
            <w:r w:rsidRPr="006312ED">
              <w:rPr>
                <w:rFonts w:eastAsiaTheme="minorEastAsia"/>
                <w:lang w:val="en-US"/>
              </w:rPr>
              <w:t xml:space="preserve"> </w:t>
            </w:r>
            <w:r w:rsidRPr="006312ED">
              <w:rPr>
                <w:rFonts w:eastAsiaTheme="minorEastAsia"/>
                <w:i/>
                <w:lang w:val="en-US"/>
              </w:rPr>
              <w:t>S</w:t>
            </w:r>
            <w:r w:rsidRPr="006312ED">
              <w:rPr>
                <w:rFonts w:eastAsiaTheme="minorEastAsia"/>
                <w:vertAlign w:val="subscript"/>
                <w:lang w:val="en-US"/>
              </w:rPr>
              <w:t>33</w:t>
            </w:r>
            <w:r w:rsidRPr="006312ED">
              <w:rPr>
                <w:rFonts w:eastAsiaTheme="minorEastAsia"/>
                <w:lang w:val="en-US"/>
              </w:rPr>
              <w:t xml:space="preserve"> test</w:t>
            </w:r>
          </w:p>
        </w:tc>
      </w:tr>
      <w:tr w:rsidR="00D00979" w:rsidRPr="006312ED" w14:paraId="10073DFC" w14:textId="77777777" w:rsidTr="00161D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3" w:type="dxa"/>
            <w:vMerge/>
            <w:shd w:val="clear" w:color="auto" w:fill="95B3D7" w:themeFill="accent1" w:themeFillTint="99"/>
          </w:tcPr>
          <w:p w14:paraId="75B103DF" w14:textId="77777777" w:rsidR="00D00979" w:rsidRPr="006312ED" w:rsidRDefault="00D00979" w:rsidP="00161D46">
            <w:pPr>
              <w:spacing w:after="80"/>
              <w:jc w:val="both"/>
              <w:rPr>
                <w:rFonts w:eastAsiaTheme="minorEastAsia"/>
                <w:lang w:val="en-US"/>
              </w:rPr>
            </w:pPr>
          </w:p>
        </w:tc>
        <w:tc>
          <w:tcPr>
            <w:tcW w:w="615" w:type="dxa"/>
            <w:shd w:val="clear" w:color="auto" w:fill="95B3D7" w:themeFill="accent1" w:themeFillTint="99"/>
          </w:tcPr>
          <w:p w14:paraId="22EE892F" w14:textId="77777777" w:rsidR="00D00979" w:rsidRPr="00CE30C5"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ascii="Symbol" w:eastAsiaTheme="minorEastAsia" w:hAnsi="Symbol"/>
                <w:lang w:val="en-US"/>
              </w:rPr>
            </w:pPr>
            <w:r>
              <w:rPr>
                <w:rFonts w:ascii="Symbol" w:eastAsiaTheme="minorEastAsia" w:hAnsi="Symbol"/>
                <w:i/>
                <w:lang w:val="en-US"/>
              </w:rPr>
              <w:t></w:t>
            </w:r>
          </w:p>
        </w:tc>
        <w:tc>
          <w:tcPr>
            <w:tcW w:w="811" w:type="dxa"/>
            <w:shd w:val="clear" w:color="auto" w:fill="95B3D7" w:themeFill="accent1" w:themeFillTint="99"/>
          </w:tcPr>
          <w:p w14:paraId="34119DA0" w14:textId="77777777" w:rsidR="00D00979" w:rsidRPr="006312ED" w:rsidRDefault="00D00979" w:rsidP="00161D46">
            <w:pPr>
              <w:spacing w:after="80"/>
              <w:jc w:val="right"/>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i/>
                <w:lang w:val="en-US"/>
              </w:rPr>
              <w:t>n</w:t>
            </w:r>
          </w:p>
        </w:tc>
        <w:tc>
          <w:tcPr>
            <w:tcW w:w="992" w:type="dxa"/>
            <w:shd w:val="clear" w:color="auto" w:fill="95B3D7" w:themeFill="accent1" w:themeFillTint="99"/>
          </w:tcPr>
          <w:p w14:paraId="22D8DCE4" w14:textId="77777777" w:rsidR="00D00979" w:rsidRPr="006312ED"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i/>
                <w:lang w:val="en-US"/>
              </w:rPr>
              <w:t>p</w:t>
            </w:r>
            <w:r w:rsidRPr="006312ED">
              <w:rPr>
                <w:rFonts w:eastAsiaTheme="minorEastAsia"/>
                <w:lang w:val="en-US"/>
              </w:rPr>
              <w:t>-value</w:t>
            </w:r>
          </w:p>
        </w:tc>
        <w:tc>
          <w:tcPr>
            <w:tcW w:w="1548" w:type="dxa"/>
            <w:shd w:val="clear" w:color="auto" w:fill="95B3D7" w:themeFill="accent1" w:themeFillTint="99"/>
          </w:tcPr>
          <w:p w14:paraId="749EE187" w14:textId="77777777" w:rsidR="00D00979" w:rsidRPr="006312ED"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lang w:val="en-US"/>
              </w:rPr>
              <w:t># of modes</w:t>
            </w:r>
          </w:p>
        </w:tc>
        <w:tc>
          <w:tcPr>
            <w:tcW w:w="1004" w:type="dxa"/>
            <w:shd w:val="clear" w:color="auto" w:fill="95B3D7" w:themeFill="accent1" w:themeFillTint="99"/>
          </w:tcPr>
          <w:p w14:paraId="0E3EFBEC" w14:textId="77777777" w:rsidR="00D00979" w:rsidRPr="006312ED"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i/>
                <w:lang w:val="en-US"/>
              </w:rPr>
              <w:t>p</w:t>
            </w:r>
            <w:r w:rsidRPr="006312ED">
              <w:rPr>
                <w:rFonts w:eastAsiaTheme="minorEastAsia"/>
                <w:lang w:val="en-US"/>
              </w:rPr>
              <w:t>-value</w:t>
            </w:r>
          </w:p>
        </w:tc>
        <w:tc>
          <w:tcPr>
            <w:tcW w:w="1559" w:type="dxa"/>
            <w:shd w:val="clear" w:color="auto" w:fill="95B3D7" w:themeFill="accent1" w:themeFillTint="99"/>
          </w:tcPr>
          <w:p w14:paraId="21533439" w14:textId="77777777" w:rsidR="00D00979" w:rsidRPr="006312ED"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lang w:val="en-US"/>
              </w:rPr>
              <w:t># of modes</w:t>
            </w:r>
          </w:p>
        </w:tc>
      </w:tr>
      <w:tr w:rsidR="00D00979" w:rsidRPr="006312ED" w14:paraId="6CB9592B" w14:textId="77777777" w:rsidTr="00161D46">
        <w:trPr>
          <w:trHeight w:val="20"/>
        </w:trPr>
        <w:tc>
          <w:tcPr>
            <w:cnfStyle w:val="001000000000" w:firstRow="0" w:lastRow="0" w:firstColumn="1" w:lastColumn="0" w:oddVBand="0" w:evenVBand="0" w:oddHBand="0" w:evenHBand="0" w:firstRowFirstColumn="0" w:firstRowLastColumn="0" w:lastRowFirstColumn="0" w:lastRowLastColumn="0"/>
            <w:tcW w:w="1693" w:type="dxa"/>
          </w:tcPr>
          <w:p w14:paraId="00E1A6C5" w14:textId="77777777" w:rsidR="00D00979" w:rsidRPr="006312ED" w:rsidRDefault="00D00979" w:rsidP="00161D46">
            <w:pPr>
              <w:spacing w:after="80"/>
              <w:jc w:val="both"/>
              <w:rPr>
                <w:rFonts w:eastAsiaTheme="minorEastAsia"/>
                <w:lang w:val="en-US"/>
              </w:rPr>
            </w:pPr>
            <w:r w:rsidRPr="006312ED">
              <w:rPr>
                <w:rFonts w:eastAsiaTheme="minorEastAsia"/>
                <w:lang w:val="en-US"/>
              </w:rPr>
              <w:t>2</w:t>
            </w:r>
          </w:p>
        </w:tc>
        <w:tc>
          <w:tcPr>
            <w:tcW w:w="615" w:type="dxa"/>
          </w:tcPr>
          <w:p w14:paraId="6BC78C36" w14:textId="77777777" w:rsidR="00D00979" w:rsidRPr="006312ED"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312ED">
              <w:rPr>
                <w:rFonts w:eastAsiaTheme="minorEastAsia"/>
                <w:lang w:val="en-US"/>
              </w:rPr>
              <w:t>10</w:t>
            </w:r>
          </w:p>
        </w:tc>
        <w:tc>
          <w:tcPr>
            <w:tcW w:w="811" w:type="dxa"/>
          </w:tcPr>
          <w:p w14:paraId="615AD9BE" w14:textId="77777777" w:rsidR="00D00979" w:rsidRPr="006312ED" w:rsidRDefault="00D00979" w:rsidP="00161D46">
            <w:pPr>
              <w:spacing w:after="80"/>
              <w:jc w:val="right"/>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312ED">
              <w:rPr>
                <w:rFonts w:eastAsiaTheme="minorEastAsia"/>
                <w:lang w:val="en-US"/>
              </w:rPr>
              <w:t>52</w:t>
            </w:r>
          </w:p>
        </w:tc>
        <w:tc>
          <w:tcPr>
            <w:tcW w:w="992" w:type="dxa"/>
          </w:tcPr>
          <w:p w14:paraId="75604994" w14:textId="77777777" w:rsidR="00D00979" w:rsidRPr="006312ED"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312ED">
              <w:rPr>
                <w:rFonts w:eastAsiaTheme="minorEastAsia"/>
                <w:lang w:val="en-US"/>
              </w:rPr>
              <w:t>0.37</w:t>
            </w:r>
          </w:p>
        </w:tc>
        <w:tc>
          <w:tcPr>
            <w:tcW w:w="1548" w:type="dxa"/>
          </w:tcPr>
          <w:p w14:paraId="09F3A0C4" w14:textId="77777777" w:rsidR="00D00979" w:rsidRPr="006312ED"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312ED">
              <w:rPr>
                <w:rFonts w:eastAsiaTheme="minorEastAsia"/>
                <w:lang w:val="en-US"/>
              </w:rPr>
              <w:t>2</w:t>
            </w:r>
          </w:p>
        </w:tc>
        <w:tc>
          <w:tcPr>
            <w:tcW w:w="1004" w:type="dxa"/>
          </w:tcPr>
          <w:p w14:paraId="626B2531" w14:textId="77777777" w:rsidR="00D00979" w:rsidRPr="006312ED"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312ED">
              <w:rPr>
                <w:rFonts w:eastAsiaTheme="minorEastAsia"/>
                <w:lang w:val="en-US"/>
              </w:rPr>
              <w:t>0.51</w:t>
            </w:r>
          </w:p>
        </w:tc>
        <w:tc>
          <w:tcPr>
            <w:tcW w:w="1559" w:type="dxa"/>
          </w:tcPr>
          <w:p w14:paraId="437EA629" w14:textId="77777777" w:rsidR="00D00979" w:rsidRPr="006312ED"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312ED">
              <w:rPr>
                <w:rFonts w:eastAsiaTheme="minorEastAsia"/>
                <w:lang w:val="en-US"/>
              </w:rPr>
              <w:t>2</w:t>
            </w:r>
          </w:p>
        </w:tc>
      </w:tr>
      <w:tr w:rsidR="00D00979" w:rsidRPr="006312ED" w14:paraId="757F67C7" w14:textId="77777777" w:rsidTr="00161D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3" w:type="dxa"/>
          </w:tcPr>
          <w:p w14:paraId="1D9EC481" w14:textId="77777777" w:rsidR="00D00979" w:rsidRPr="006312ED" w:rsidRDefault="00D00979" w:rsidP="00161D46">
            <w:pPr>
              <w:spacing w:after="80"/>
              <w:jc w:val="both"/>
              <w:rPr>
                <w:rFonts w:eastAsiaTheme="minorEastAsia"/>
                <w:lang w:val="en-US"/>
              </w:rPr>
            </w:pPr>
            <w:r w:rsidRPr="006312ED">
              <w:rPr>
                <w:rFonts w:eastAsiaTheme="minorEastAsia"/>
                <w:lang w:val="en-US"/>
              </w:rPr>
              <w:t>2</w:t>
            </w:r>
          </w:p>
        </w:tc>
        <w:tc>
          <w:tcPr>
            <w:tcW w:w="615" w:type="dxa"/>
          </w:tcPr>
          <w:p w14:paraId="6EE54255" w14:textId="77777777" w:rsidR="00D00979" w:rsidRPr="006312ED"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lang w:val="en-US"/>
              </w:rPr>
              <w:t>10</w:t>
            </w:r>
          </w:p>
        </w:tc>
        <w:tc>
          <w:tcPr>
            <w:tcW w:w="811" w:type="dxa"/>
          </w:tcPr>
          <w:p w14:paraId="6C2E9CEE" w14:textId="77777777" w:rsidR="00D00979" w:rsidRPr="006312ED" w:rsidRDefault="00D00979" w:rsidP="00161D46">
            <w:pPr>
              <w:spacing w:after="80"/>
              <w:jc w:val="right"/>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lang w:val="en-US"/>
              </w:rPr>
              <w:t>360</w:t>
            </w:r>
          </w:p>
        </w:tc>
        <w:tc>
          <w:tcPr>
            <w:tcW w:w="992" w:type="dxa"/>
          </w:tcPr>
          <w:p w14:paraId="53473F96" w14:textId="77777777" w:rsidR="00D00979" w:rsidRPr="006312ED"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lang w:val="en-US"/>
              </w:rPr>
              <w:t>0.27</w:t>
            </w:r>
          </w:p>
        </w:tc>
        <w:tc>
          <w:tcPr>
            <w:tcW w:w="1548" w:type="dxa"/>
          </w:tcPr>
          <w:p w14:paraId="6F5F3156" w14:textId="77777777" w:rsidR="00D00979" w:rsidRPr="006312ED"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lang w:val="en-US"/>
              </w:rPr>
              <w:t>2</w:t>
            </w:r>
          </w:p>
        </w:tc>
        <w:tc>
          <w:tcPr>
            <w:tcW w:w="1004" w:type="dxa"/>
          </w:tcPr>
          <w:p w14:paraId="31F493E6" w14:textId="77777777" w:rsidR="00D00979" w:rsidRPr="006312ED"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lang w:val="en-US"/>
              </w:rPr>
              <w:t>0.33</w:t>
            </w:r>
          </w:p>
        </w:tc>
        <w:tc>
          <w:tcPr>
            <w:tcW w:w="1559" w:type="dxa"/>
          </w:tcPr>
          <w:p w14:paraId="0EDAA883" w14:textId="77777777" w:rsidR="00D00979" w:rsidRPr="006312ED"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lang w:val="en-US"/>
              </w:rPr>
              <w:t>2</w:t>
            </w:r>
          </w:p>
        </w:tc>
      </w:tr>
      <w:tr w:rsidR="00D00979" w:rsidRPr="006312ED" w14:paraId="4DD91190" w14:textId="77777777" w:rsidTr="00161D46">
        <w:trPr>
          <w:trHeight w:val="20"/>
        </w:trPr>
        <w:tc>
          <w:tcPr>
            <w:cnfStyle w:val="001000000000" w:firstRow="0" w:lastRow="0" w:firstColumn="1" w:lastColumn="0" w:oddVBand="0" w:evenVBand="0" w:oddHBand="0" w:evenHBand="0" w:firstRowFirstColumn="0" w:firstRowLastColumn="0" w:lastRowFirstColumn="0" w:lastRowLastColumn="0"/>
            <w:tcW w:w="1693" w:type="dxa"/>
          </w:tcPr>
          <w:p w14:paraId="33BD345B" w14:textId="77777777" w:rsidR="00D00979" w:rsidRPr="006312ED" w:rsidRDefault="00D00979" w:rsidP="00161D46">
            <w:pPr>
              <w:spacing w:after="80"/>
              <w:jc w:val="both"/>
              <w:rPr>
                <w:rFonts w:eastAsiaTheme="minorEastAsia"/>
                <w:lang w:val="en-US"/>
              </w:rPr>
            </w:pPr>
            <w:r w:rsidRPr="006312ED">
              <w:rPr>
                <w:rFonts w:eastAsiaTheme="minorEastAsia"/>
                <w:lang w:val="en-US"/>
              </w:rPr>
              <w:t>2</w:t>
            </w:r>
          </w:p>
        </w:tc>
        <w:tc>
          <w:tcPr>
            <w:tcW w:w="615" w:type="dxa"/>
          </w:tcPr>
          <w:p w14:paraId="7C8E52A8" w14:textId="77777777" w:rsidR="00D00979" w:rsidRPr="006312ED"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312ED">
              <w:rPr>
                <w:rFonts w:eastAsiaTheme="minorEastAsia"/>
                <w:lang w:val="en-US"/>
              </w:rPr>
              <w:t>20</w:t>
            </w:r>
          </w:p>
        </w:tc>
        <w:tc>
          <w:tcPr>
            <w:tcW w:w="811" w:type="dxa"/>
          </w:tcPr>
          <w:p w14:paraId="7B0601CC" w14:textId="77777777" w:rsidR="00D00979" w:rsidRPr="006312ED" w:rsidRDefault="00D00979" w:rsidP="00161D46">
            <w:pPr>
              <w:spacing w:after="80"/>
              <w:jc w:val="right"/>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312ED">
              <w:rPr>
                <w:rFonts w:eastAsiaTheme="minorEastAsia"/>
                <w:lang w:val="en-US"/>
              </w:rPr>
              <w:t>52</w:t>
            </w:r>
          </w:p>
        </w:tc>
        <w:tc>
          <w:tcPr>
            <w:tcW w:w="992" w:type="dxa"/>
          </w:tcPr>
          <w:p w14:paraId="307FD83C" w14:textId="77777777" w:rsidR="00D00979" w:rsidRPr="006312ED"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312ED">
              <w:rPr>
                <w:rFonts w:eastAsiaTheme="minorEastAsia"/>
                <w:lang w:val="en-US"/>
              </w:rPr>
              <w:t>0.66</w:t>
            </w:r>
          </w:p>
        </w:tc>
        <w:tc>
          <w:tcPr>
            <w:tcW w:w="1548" w:type="dxa"/>
          </w:tcPr>
          <w:p w14:paraId="339749A5" w14:textId="77777777" w:rsidR="00D00979" w:rsidRPr="006312ED"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312ED">
              <w:rPr>
                <w:rFonts w:eastAsiaTheme="minorEastAsia"/>
                <w:lang w:val="en-US"/>
              </w:rPr>
              <w:t>2</w:t>
            </w:r>
          </w:p>
        </w:tc>
        <w:tc>
          <w:tcPr>
            <w:tcW w:w="1004" w:type="dxa"/>
          </w:tcPr>
          <w:p w14:paraId="4DF0FC3B" w14:textId="77777777" w:rsidR="00D00979" w:rsidRPr="006312ED"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312ED">
              <w:rPr>
                <w:rFonts w:eastAsiaTheme="minorEastAsia"/>
                <w:lang w:val="en-US"/>
              </w:rPr>
              <w:t>0.69</w:t>
            </w:r>
          </w:p>
        </w:tc>
        <w:tc>
          <w:tcPr>
            <w:tcW w:w="1559" w:type="dxa"/>
          </w:tcPr>
          <w:p w14:paraId="3109539A" w14:textId="77777777" w:rsidR="00D00979" w:rsidRPr="006312ED"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312ED">
              <w:rPr>
                <w:rFonts w:eastAsiaTheme="minorEastAsia"/>
                <w:lang w:val="en-US"/>
              </w:rPr>
              <w:t>2</w:t>
            </w:r>
          </w:p>
        </w:tc>
      </w:tr>
      <w:tr w:rsidR="00D00979" w:rsidRPr="006312ED" w14:paraId="0660D59B" w14:textId="77777777" w:rsidTr="00161D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3" w:type="dxa"/>
          </w:tcPr>
          <w:p w14:paraId="1B839A41" w14:textId="77777777" w:rsidR="00D00979" w:rsidRPr="006312ED" w:rsidRDefault="00D00979" w:rsidP="00161D46">
            <w:pPr>
              <w:spacing w:after="80"/>
              <w:jc w:val="both"/>
              <w:rPr>
                <w:rFonts w:eastAsiaTheme="minorEastAsia"/>
                <w:lang w:val="en-US"/>
              </w:rPr>
            </w:pPr>
            <w:r w:rsidRPr="006312ED">
              <w:rPr>
                <w:rFonts w:eastAsiaTheme="minorEastAsia"/>
                <w:lang w:val="en-US"/>
              </w:rPr>
              <w:t>2</w:t>
            </w:r>
          </w:p>
        </w:tc>
        <w:tc>
          <w:tcPr>
            <w:tcW w:w="615" w:type="dxa"/>
          </w:tcPr>
          <w:p w14:paraId="22C17A65" w14:textId="77777777" w:rsidR="00D00979" w:rsidRPr="006312ED"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lang w:val="en-US"/>
              </w:rPr>
              <w:t>20</w:t>
            </w:r>
          </w:p>
        </w:tc>
        <w:tc>
          <w:tcPr>
            <w:tcW w:w="811" w:type="dxa"/>
          </w:tcPr>
          <w:p w14:paraId="738132CE" w14:textId="77777777" w:rsidR="00D00979" w:rsidRPr="006312ED" w:rsidRDefault="00D00979" w:rsidP="00161D46">
            <w:pPr>
              <w:spacing w:after="80"/>
              <w:jc w:val="right"/>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lang w:val="en-US"/>
              </w:rPr>
              <w:t>360</w:t>
            </w:r>
          </w:p>
        </w:tc>
        <w:tc>
          <w:tcPr>
            <w:tcW w:w="992" w:type="dxa"/>
          </w:tcPr>
          <w:p w14:paraId="3E86F8EE" w14:textId="77777777" w:rsidR="00D00979" w:rsidRPr="006312ED"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lang w:val="en-US"/>
              </w:rPr>
              <w:t>0.20</w:t>
            </w:r>
          </w:p>
        </w:tc>
        <w:tc>
          <w:tcPr>
            <w:tcW w:w="1548" w:type="dxa"/>
          </w:tcPr>
          <w:p w14:paraId="5B08921C" w14:textId="77777777" w:rsidR="00D00979" w:rsidRPr="006312ED"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lang w:val="en-US"/>
              </w:rPr>
              <w:t>2</w:t>
            </w:r>
          </w:p>
        </w:tc>
        <w:tc>
          <w:tcPr>
            <w:tcW w:w="1004" w:type="dxa"/>
          </w:tcPr>
          <w:p w14:paraId="72DA193B" w14:textId="77777777" w:rsidR="00D00979" w:rsidRPr="006312ED"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lang w:val="en-US"/>
              </w:rPr>
              <w:t>0.25</w:t>
            </w:r>
          </w:p>
        </w:tc>
        <w:tc>
          <w:tcPr>
            <w:tcW w:w="1559" w:type="dxa"/>
          </w:tcPr>
          <w:p w14:paraId="3406DD34" w14:textId="77777777" w:rsidR="00D00979" w:rsidRPr="006312ED"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lang w:val="en-US"/>
              </w:rPr>
              <w:t>2</w:t>
            </w:r>
          </w:p>
        </w:tc>
      </w:tr>
      <w:tr w:rsidR="00D00979" w:rsidRPr="006312ED" w14:paraId="5FC2E3FF" w14:textId="77777777" w:rsidTr="00161D46">
        <w:trPr>
          <w:trHeight w:val="20"/>
        </w:trPr>
        <w:tc>
          <w:tcPr>
            <w:cnfStyle w:val="001000000000" w:firstRow="0" w:lastRow="0" w:firstColumn="1" w:lastColumn="0" w:oddVBand="0" w:evenVBand="0" w:oddHBand="0" w:evenHBand="0" w:firstRowFirstColumn="0" w:firstRowLastColumn="0" w:lastRowFirstColumn="0" w:lastRowLastColumn="0"/>
            <w:tcW w:w="1693" w:type="dxa"/>
          </w:tcPr>
          <w:p w14:paraId="4BEF5A3F" w14:textId="77777777" w:rsidR="00D00979" w:rsidRPr="006312ED" w:rsidRDefault="00D00979" w:rsidP="00161D46">
            <w:pPr>
              <w:spacing w:after="80"/>
              <w:jc w:val="both"/>
              <w:rPr>
                <w:rFonts w:eastAsiaTheme="minorEastAsia"/>
                <w:lang w:val="en-US"/>
              </w:rPr>
            </w:pPr>
            <w:r w:rsidRPr="006312ED">
              <w:rPr>
                <w:rFonts w:eastAsiaTheme="minorEastAsia"/>
                <w:lang w:val="en-US"/>
              </w:rPr>
              <w:t>2</w:t>
            </w:r>
          </w:p>
        </w:tc>
        <w:tc>
          <w:tcPr>
            <w:tcW w:w="615" w:type="dxa"/>
          </w:tcPr>
          <w:p w14:paraId="386612E8" w14:textId="77777777" w:rsidR="00D00979" w:rsidRPr="006312ED"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312ED">
              <w:rPr>
                <w:rFonts w:eastAsiaTheme="minorEastAsia"/>
                <w:lang w:val="en-US"/>
              </w:rPr>
              <w:t>50</w:t>
            </w:r>
          </w:p>
        </w:tc>
        <w:tc>
          <w:tcPr>
            <w:tcW w:w="811" w:type="dxa"/>
          </w:tcPr>
          <w:p w14:paraId="3EF016F6" w14:textId="77777777" w:rsidR="00D00979" w:rsidRPr="006312ED" w:rsidRDefault="00D00979" w:rsidP="00161D46">
            <w:pPr>
              <w:spacing w:after="80"/>
              <w:jc w:val="right"/>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312ED">
              <w:rPr>
                <w:rFonts w:eastAsiaTheme="minorEastAsia"/>
                <w:lang w:val="en-US"/>
              </w:rPr>
              <w:t>52</w:t>
            </w:r>
          </w:p>
        </w:tc>
        <w:tc>
          <w:tcPr>
            <w:tcW w:w="992" w:type="dxa"/>
          </w:tcPr>
          <w:p w14:paraId="1BADBC8D" w14:textId="77777777" w:rsidR="00D00979" w:rsidRPr="006312ED"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312ED">
              <w:rPr>
                <w:rFonts w:eastAsiaTheme="minorEastAsia"/>
                <w:lang w:val="en-US"/>
              </w:rPr>
              <w:t>0.45</w:t>
            </w:r>
          </w:p>
        </w:tc>
        <w:tc>
          <w:tcPr>
            <w:tcW w:w="1548" w:type="dxa"/>
          </w:tcPr>
          <w:p w14:paraId="73273740" w14:textId="77777777" w:rsidR="00D00979" w:rsidRPr="006312ED"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312ED">
              <w:rPr>
                <w:rFonts w:eastAsiaTheme="minorEastAsia"/>
                <w:lang w:val="en-US"/>
              </w:rPr>
              <w:t>2</w:t>
            </w:r>
          </w:p>
        </w:tc>
        <w:tc>
          <w:tcPr>
            <w:tcW w:w="1004" w:type="dxa"/>
          </w:tcPr>
          <w:p w14:paraId="427F7DC6" w14:textId="77777777" w:rsidR="00D00979" w:rsidRPr="006312ED"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312ED">
              <w:rPr>
                <w:rFonts w:eastAsiaTheme="minorEastAsia"/>
                <w:lang w:val="en-US"/>
              </w:rPr>
              <w:t>0.48</w:t>
            </w:r>
          </w:p>
        </w:tc>
        <w:tc>
          <w:tcPr>
            <w:tcW w:w="1559" w:type="dxa"/>
          </w:tcPr>
          <w:p w14:paraId="3008E195" w14:textId="77777777" w:rsidR="00D00979" w:rsidRPr="006312ED"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312ED">
              <w:rPr>
                <w:rFonts w:eastAsiaTheme="minorEastAsia"/>
                <w:lang w:val="en-US"/>
              </w:rPr>
              <w:t>2</w:t>
            </w:r>
          </w:p>
        </w:tc>
      </w:tr>
      <w:tr w:rsidR="00D00979" w:rsidRPr="006312ED" w14:paraId="6AA0B915" w14:textId="77777777" w:rsidTr="00161D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3" w:type="dxa"/>
          </w:tcPr>
          <w:p w14:paraId="52B1A9CB" w14:textId="77777777" w:rsidR="00D00979" w:rsidRPr="006312ED" w:rsidRDefault="00D00979" w:rsidP="00161D46">
            <w:pPr>
              <w:spacing w:after="80"/>
              <w:jc w:val="both"/>
              <w:rPr>
                <w:rFonts w:eastAsiaTheme="minorEastAsia"/>
                <w:lang w:val="en-US"/>
              </w:rPr>
            </w:pPr>
            <w:r w:rsidRPr="006312ED">
              <w:rPr>
                <w:rFonts w:eastAsiaTheme="minorEastAsia"/>
                <w:lang w:val="en-US"/>
              </w:rPr>
              <w:t>2</w:t>
            </w:r>
          </w:p>
        </w:tc>
        <w:tc>
          <w:tcPr>
            <w:tcW w:w="615" w:type="dxa"/>
          </w:tcPr>
          <w:p w14:paraId="04CBA9C4" w14:textId="77777777" w:rsidR="00D00979" w:rsidRPr="006312ED"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lang w:val="en-US"/>
              </w:rPr>
              <w:t>50</w:t>
            </w:r>
          </w:p>
        </w:tc>
        <w:tc>
          <w:tcPr>
            <w:tcW w:w="811" w:type="dxa"/>
          </w:tcPr>
          <w:p w14:paraId="143C6F97" w14:textId="77777777" w:rsidR="00D00979" w:rsidRPr="006312ED" w:rsidRDefault="00D00979" w:rsidP="00161D46">
            <w:pPr>
              <w:spacing w:after="80"/>
              <w:jc w:val="right"/>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lang w:val="en-US"/>
              </w:rPr>
              <w:t>360</w:t>
            </w:r>
          </w:p>
        </w:tc>
        <w:tc>
          <w:tcPr>
            <w:tcW w:w="992" w:type="dxa"/>
          </w:tcPr>
          <w:p w14:paraId="6D91ADD9" w14:textId="77777777" w:rsidR="00D00979" w:rsidRPr="006312ED"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lang w:val="en-US"/>
              </w:rPr>
              <w:t>0.35</w:t>
            </w:r>
          </w:p>
        </w:tc>
        <w:tc>
          <w:tcPr>
            <w:tcW w:w="1548" w:type="dxa"/>
          </w:tcPr>
          <w:p w14:paraId="08C74E4E" w14:textId="77777777" w:rsidR="00D00979" w:rsidRPr="006312ED"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lang w:val="en-US"/>
              </w:rPr>
              <w:t>2</w:t>
            </w:r>
          </w:p>
        </w:tc>
        <w:tc>
          <w:tcPr>
            <w:tcW w:w="1004" w:type="dxa"/>
          </w:tcPr>
          <w:p w14:paraId="6113AC2C" w14:textId="77777777" w:rsidR="00D00979" w:rsidRPr="006312ED"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lang w:val="en-US"/>
              </w:rPr>
              <w:t>0.42</w:t>
            </w:r>
          </w:p>
        </w:tc>
        <w:tc>
          <w:tcPr>
            <w:tcW w:w="1559" w:type="dxa"/>
          </w:tcPr>
          <w:p w14:paraId="4AC109C5" w14:textId="77777777" w:rsidR="00D00979" w:rsidRPr="006312ED"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lang w:val="en-US"/>
              </w:rPr>
              <w:t>2</w:t>
            </w:r>
          </w:p>
        </w:tc>
      </w:tr>
      <w:tr w:rsidR="00D00979" w:rsidRPr="006312ED" w14:paraId="68A67DCF" w14:textId="77777777" w:rsidTr="00161D46">
        <w:trPr>
          <w:trHeight w:val="20"/>
        </w:trPr>
        <w:tc>
          <w:tcPr>
            <w:cnfStyle w:val="001000000000" w:firstRow="0" w:lastRow="0" w:firstColumn="1" w:lastColumn="0" w:oddVBand="0" w:evenVBand="0" w:oddHBand="0" w:evenHBand="0" w:firstRowFirstColumn="0" w:firstRowLastColumn="0" w:lastRowFirstColumn="0" w:lastRowLastColumn="0"/>
            <w:tcW w:w="1693" w:type="dxa"/>
          </w:tcPr>
          <w:p w14:paraId="32E957C3" w14:textId="77777777" w:rsidR="00D00979" w:rsidRPr="006312ED" w:rsidRDefault="00D00979" w:rsidP="00161D46">
            <w:pPr>
              <w:spacing w:after="80"/>
              <w:jc w:val="both"/>
              <w:rPr>
                <w:rFonts w:eastAsiaTheme="minorEastAsia"/>
                <w:lang w:val="en-US"/>
              </w:rPr>
            </w:pPr>
            <w:r w:rsidRPr="006312ED">
              <w:rPr>
                <w:rFonts w:eastAsiaTheme="minorEastAsia"/>
                <w:lang w:val="en-US"/>
              </w:rPr>
              <w:t>2</w:t>
            </w:r>
          </w:p>
        </w:tc>
        <w:tc>
          <w:tcPr>
            <w:tcW w:w="615" w:type="dxa"/>
          </w:tcPr>
          <w:p w14:paraId="3CD8945B" w14:textId="77777777" w:rsidR="00D00979" w:rsidRPr="006312ED"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312ED">
              <w:rPr>
                <w:rFonts w:eastAsiaTheme="minorEastAsia"/>
                <w:lang w:val="en-US"/>
              </w:rPr>
              <w:t>100</w:t>
            </w:r>
          </w:p>
        </w:tc>
        <w:tc>
          <w:tcPr>
            <w:tcW w:w="811" w:type="dxa"/>
          </w:tcPr>
          <w:p w14:paraId="5BC02998" w14:textId="77777777" w:rsidR="00D00979" w:rsidRPr="006312ED" w:rsidRDefault="00D00979" w:rsidP="00161D46">
            <w:pPr>
              <w:spacing w:after="80"/>
              <w:jc w:val="right"/>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312ED">
              <w:rPr>
                <w:rFonts w:eastAsiaTheme="minorEastAsia"/>
                <w:lang w:val="en-US"/>
              </w:rPr>
              <w:t>52</w:t>
            </w:r>
          </w:p>
        </w:tc>
        <w:tc>
          <w:tcPr>
            <w:tcW w:w="992" w:type="dxa"/>
          </w:tcPr>
          <w:p w14:paraId="76089172" w14:textId="77777777" w:rsidR="00D00979" w:rsidRPr="006312ED"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312ED">
              <w:rPr>
                <w:rFonts w:eastAsiaTheme="minorEastAsia"/>
                <w:lang w:val="en-US"/>
              </w:rPr>
              <w:t>0.34</w:t>
            </w:r>
          </w:p>
        </w:tc>
        <w:tc>
          <w:tcPr>
            <w:tcW w:w="1548" w:type="dxa"/>
          </w:tcPr>
          <w:p w14:paraId="41C0AB77" w14:textId="77777777" w:rsidR="00D00979" w:rsidRPr="006312ED"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312ED">
              <w:rPr>
                <w:rFonts w:eastAsiaTheme="minorEastAsia"/>
                <w:lang w:val="en-US"/>
              </w:rPr>
              <w:t>2</w:t>
            </w:r>
          </w:p>
        </w:tc>
        <w:tc>
          <w:tcPr>
            <w:tcW w:w="1004" w:type="dxa"/>
          </w:tcPr>
          <w:p w14:paraId="177EC12F" w14:textId="77777777" w:rsidR="00D00979" w:rsidRPr="006312ED"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312ED">
              <w:rPr>
                <w:rFonts w:eastAsiaTheme="minorEastAsia"/>
                <w:lang w:val="en-US"/>
              </w:rPr>
              <w:t>0.41</w:t>
            </w:r>
          </w:p>
        </w:tc>
        <w:tc>
          <w:tcPr>
            <w:tcW w:w="1559" w:type="dxa"/>
          </w:tcPr>
          <w:p w14:paraId="74C5F074" w14:textId="77777777" w:rsidR="00D00979" w:rsidRPr="006312ED"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6312ED">
              <w:rPr>
                <w:rFonts w:eastAsiaTheme="minorEastAsia"/>
                <w:lang w:val="en-US"/>
              </w:rPr>
              <w:t>2</w:t>
            </w:r>
          </w:p>
        </w:tc>
      </w:tr>
      <w:tr w:rsidR="00D00979" w:rsidRPr="006312ED" w14:paraId="0A80C62A" w14:textId="77777777" w:rsidTr="00161D4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93" w:type="dxa"/>
          </w:tcPr>
          <w:p w14:paraId="56356F26" w14:textId="77777777" w:rsidR="00D00979" w:rsidRPr="006312ED" w:rsidRDefault="00D00979" w:rsidP="00161D46">
            <w:pPr>
              <w:spacing w:after="80"/>
              <w:jc w:val="both"/>
              <w:rPr>
                <w:rFonts w:eastAsiaTheme="minorEastAsia"/>
                <w:lang w:val="en-US"/>
              </w:rPr>
            </w:pPr>
            <w:r w:rsidRPr="006312ED">
              <w:rPr>
                <w:rFonts w:eastAsiaTheme="minorEastAsia"/>
                <w:lang w:val="en-US"/>
              </w:rPr>
              <w:t>2</w:t>
            </w:r>
          </w:p>
        </w:tc>
        <w:tc>
          <w:tcPr>
            <w:tcW w:w="615" w:type="dxa"/>
          </w:tcPr>
          <w:p w14:paraId="5AF5F5CC" w14:textId="77777777" w:rsidR="00D00979" w:rsidRPr="006312ED"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lang w:val="en-US"/>
              </w:rPr>
              <w:t>100</w:t>
            </w:r>
          </w:p>
        </w:tc>
        <w:tc>
          <w:tcPr>
            <w:tcW w:w="811" w:type="dxa"/>
          </w:tcPr>
          <w:p w14:paraId="28E369A7" w14:textId="77777777" w:rsidR="00D00979" w:rsidRPr="006312ED" w:rsidRDefault="00D00979" w:rsidP="00161D46">
            <w:pPr>
              <w:spacing w:after="80"/>
              <w:jc w:val="right"/>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lang w:val="en-US"/>
              </w:rPr>
              <w:t>360</w:t>
            </w:r>
          </w:p>
        </w:tc>
        <w:tc>
          <w:tcPr>
            <w:tcW w:w="992" w:type="dxa"/>
          </w:tcPr>
          <w:p w14:paraId="3758FDA4" w14:textId="77777777" w:rsidR="00D00979" w:rsidRPr="006312ED"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lang w:val="en-US"/>
              </w:rPr>
              <w:t>0.60</w:t>
            </w:r>
          </w:p>
        </w:tc>
        <w:tc>
          <w:tcPr>
            <w:tcW w:w="1548" w:type="dxa"/>
          </w:tcPr>
          <w:p w14:paraId="6C074B7A" w14:textId="77777777" w:rsidR="00D00979" w:rsidRPr="006312ED"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lang w:val="en-US"/>
              </w:rPr>
              <w:t>2</w:t>
            </w:r>
          </w:p>
        </w:tc>
        <w:tc>
          <w:tcPr>
            <w:tcW w:w="1004" w:type="dxa"/>
          </w:tcPr>
          <w:p w14:paraId="6EE76B6C" w14:textId="77777777" w:rsidR="00D00979" w:rsidRPr="006312ED"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lang w:val="en-US"/>
              </w:rPr>
              <w:t>0.63</w:t>
            </w:r>
          </w:p>
        </w:tc>
        <w:tc>
          <w:tcPr>
            <w:tcW w:w="1559" w:type="dxa"/>
          </w:tcPr>
          <w:p w14:paraId="3F1101D9" w14:textId="77777777" w:rsidR="00D00979" w:rsidRPr="006312ED"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6312ED">
              <w:rPr>
                <w:rFonts w:eastAsiaTheme="minorEastAsia"/>
                <w:lang w:val="en-US"/>
              </w:rPr>
              <w:t>2</w:t>
            </w:r>
          </w:p>
        </w:tc>
      </w:tr>
    </w:tbl>
    <w:p w14:paraId="093EF50E" w14:textId="77777777" w:rsidR="00D00979" w:rsidRDefault="00D00979" w:rsidP="00D00979">
      <w:pPr>
        <w:spacing w:after="200" w:line="276" w:lineRule="auto"/>
        <w:jc w:val="both"/>
        <w:rPr>
          <w:lang w:val="en-US"/>
        </w:rPr>
      </w:pPr>
    </w:p>
    <w:p w14:paraId="4F4BCB9D" w14:textId="77777777" w:rsidR="00D00979" w:rsidRDefault="00D00979" w:rsidP="00D00979">
      <w:pPr>
        <w:spacing w:after="200" w:line="276" w:lineRule="auto"/>
        <w:jc w:val="both"/>
        <w:rPr>
          <w:lang w:val="en-US"/>
        </w:rPr>
      </w:pPr>
      <w:r w:rsidRPr="006312ED">
        <w:rPr>
          <w:b/>
          <w:lang w:val="en-US"/>
        </w:rPr>
        <w:lastRenderedPageBreak/>
        <w:t>Table 1.</w:t>
      </w:r>
      <w:r w:rsidRPr="006312ED">
        <w:rPr>
          <w:lang w:val="en-US"/>
        </w:rPr>
        <w:t xml:space="preserve"> </w:t>
      </w:r>
      <w:proofErr w:type="gramStart"/>
      <w:r w:rsidRPr="006312ED">
        <w:rPr>
          <w:i/>
          <w:lang w:val="en-US"/>
        </w:rPr>
        <w:t>p</w:t>
      </w:r>
      <w:r w:rsidRPr="006312ED">
        <w:rPr>
          <w:lang w:val="en-US"/>
        </w:rPr>
        <w:t>-values</w:t>
      </w:r>
      <w:proofErr w:type="gramEnd"/>
      <w:r w:rsidRPr="006312ED">
        <w:rPr>
          <w:lang w:val="en-US"/>
        </w:rPr>
        <w:t xml:space="preserve"> and corr</w:t>
      </w:r>
      <w:r>
        <w:rPr>
          <w:lang w:val="en-US"/>
        </w:rPr>
        <w:t>esponding decisions at 5% significance level</w:t>
      </w:r>
      <w:r w:rsidRPr="006312ED">
        <w:rPr>
          <w:lang w:val="en-US"/>
        </w:rPr>
        <w:t xml:space="preserve"> of </w:t>
      </w:r>
      <w:proofErr w:type="spellStart"/>
      <w:r w:rsidRPr="006312ED">
        <w:rPr>
          <w:lang w:val="en-US"/>
        </w:rPr>
        <w:t>randomisation</w:t>
      </w:r>
      <w:proofErr w:type="spellEnd"/>
      <w:r w:rsidRPr="006312ED">
        <w:rPr>
          <w:lang w:val="en-US"/>
        </w:rPr>
        <w:t xml:space="preserve"> tests of bimodality for bimodal equal mixtures of </w:t>
      </w:r>
      <w:r>
        <w:rPr>
          <w:lang w:val="en-US"/>
        </w:rPr>
        <w:t xml:space="preserve">synthetic </w:t>
      </w:r>
      <w:r w:rsidRPr="006312ED">
        <w:rPr>
          <w:lang w:val="en-US"/>
        </w:rPr>
        <w:t xml:space="preserve">Watson distributions. </w:t>
      </w:r>
      <w:r w:rsidRPr="006312ED">
        <w:rPr>
          <w:i/>
          <w:lang w:val="en-US"/>
        </w:rPr>
        <w:t>n</w:t>
      </w:r>
      <w:r>
        <w:rPr>
          <w:lang w:val="en-US"/>
        </w:rPr>
        <w:t xml:space="preserve">=total sample size. </w:t>
      </w:r>
      <w:r w:rsidRPr="00AB39D5">
        <w:rPr>
          <w:i/>
          <w:lang w:val="en-US"/>
        </w:rPr>
        <w:t>B</w:t>
      </w:r>
      <w:r>
        <w:rPr>
          <w:lang w:val="en-US"/>
        </w:rPr>
        <w:t>=</w:t>
      </w:r>
      <w:r w:rsidRPr="006312ED">
        <w:rPr>
          <w:lang w:val="en-US"/>
        </w:rPr>
        <w:t xml:space="preserve">999 further </w:t>
      </w:r>
      <w:proofErr w:type="spellStart"/>
      <w:r w:rsidRPr="006312ED">
        <w:rPr>
          <w:lang w:val="en-US"/>
        </w:rPr>
        <w:t>randomisation</w:t>
      </w:r>
      <w:proofErr w:type="spellEnd"/>
      <w:r w:rsidRPr="006312ED">
        <w:rPr>
          <w:lang w:val="en-US"/>
        </w:rPr>
        <w:t xml:space="preserve"> samples per data set</w:t>
      </w:r>
      <w:r>
        <w:rPr>
          <w:lang w:val="en-US"/>
        </w:rPr>
        <w:t xml:space="preserve"> (see text for details)</w:t>
      </w:r>
      <w:r w:rsidRPr="006312ED">
        <w:rPr>
          <w:lang w:val="en-US"/>
        </w:rPr>
        <w:t>.</w:t>
      </w:r>
    </w:p>
    <w:p w14:paraId="5AE14C62" w14:textId="49A46034" w:rsidR="00D00979" w:rsidRDefault="00D00979" w:rsidP="0040478C">
      <w:pPr>
        <w:spacing w:after="200" w:line="276" w:lineRule="auto"/>
        <w:jc w:val="both"/>
      </w:pPr>
    </w:p>
    <w:tbl>
      <w:tblPr>
        <w:tblStyle w:val="GridTable2-Accent11"/>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693"/>
        <w:gridCol w:w="615"/>
        <w:gridCol w:w="811"/>
        <w:gridCol w:w="992"/>
        <w:gridCol w:w="1418"/>
        <w:gridCol w:w="993"/>
        <w:gridCol w:w="1700"/>
      </w:tblGrid>
      <w:tr w:rsidR="00D00979" w:rsidRPr="007F2771" w14:paraId="3AC4AA45" w14:textId="77777777" w:rsidTr="00161D4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693" w:type="dxa"/>
            <w:vMerge w:val="restart"/>
            <w:shd w:val="clear" w:color="auto" w:fill="95B3D7" w:themeFill="accent1" w:themeFillTint="99"/>
          </w:tcPr>
          <w:p w14:paraId="1AD513D2" w14:textId="77777777" w:rsidR="00D00979" w:rsidRPr="007F2771" w:rsidRDefault="00D00979" w:rsidP="00161D46">
            <w:pPr>
              <w:spacing w:after="80"/>
              <w:jc w:val="both"/>
              <w:rPr>
                <w:rFonts w:eastAsiaTheme="minorEastAsia"/>
                <w:lang w:val="en-US"/>
              </w:rPr>
            </w:pPr>
            <w:r w:rsidRPr="007F2771">
              <w:rPr>
                <w:rFonts w:eastAsiaTheme="minorEastAsia"/>
                <w:lang w:val="en-US"/>
              </w:rPr>
              <w:t>True number</w:t>
            </w:r>
          </w:p>
          <w:p w14:paraId="7B661E73" w14:textId="77777777" w:rsidR="00D00979" w:rsidRPr="007F2771" w:rsidRDefault="00D00979" w:rsidP="00161D46">
            <w:pPr>
              <w:spacing w:after="80"/>
              <w:jc w:val="both"/>
              <w:rPr>
                <w:rFonts w:eastAsiaTheme="minorEastAsia"/>
                <w:lang w:val="en-US"/>
              </w:rPr>
            </w:pPr>
            <w:r w:rsidRPr="007F2771">
              <w:rPr>
                <w:rFonts w:eastAsiaTheme="minorEastAsia"/>
                <w:lang w:val="en-US"/>
              </w:rPr>
              <w:t>of modes</w:t>
            </w:r>
          </w:p>
        </w:tc>
        <w:tc>
          <w:tcPr>
            <w:tcW w:w="615" w:type="dxa"/>
            <w:shd w:val="clear" w:color="auto" w:fill="95B3D7" w:themeFill="accent1" w:themeFillTint="99"/>
          </w:tcPr>
          <w:p w14:paraId="17AB26B4" w14:textId="77777777" w:rsidR="00D00979" w:rsidRPr="007F2771" w:rsidRDefault="00D00979" w:rsidP="00161D46">
            <w:pPr>
              <w:spacing w:after="80"/>
              <w:jc w:val="both"/>
              <w:cnfStyle w:val="100000000000" w:firstRow="1" w:lastRow="0" w:firstColumn="0" w:lastColumn="0" w:oddVBand="0" w:evenVBand="0" w:oddHBand="0" w:evenHBand="0" w:firstRowFirstColumn="0" w:firstRowLastColumn="0" w:lastRowFirstColumn="0" w:lastRowLastColumn="0"/>
              <w:rPr>
                <w:rFonts w:eastAsiaTheme="minorEastAsia"/>
                <w:i/>
                <w:lang w:val="en-US"/>
              </w:rPr>
            </w:pPr>
          </w:p>
        </w:tc>
        <w:tc>
          <w:tcPr>
            <w:tcW w:w="811" w:type="dxa"/>
            <w:shd w:val="clear" w:color="auto" w:fill="95B3D7" w:themeFill="accent1" w:themeFillTint="99"/>
          </w:tcPr>
          <w:p w14:paraId="1BF883DC" w14:textId="77777777" w:rsidR="00D00979" w:rsidRPr="007F2771" w:rsidRDefault="00D00979" w:rsidP="00161D46">
            <w:pPr>
              <w:spacing w:after="80"/>
              <w:jc w:val="right"/>
              <w:cnfStyle w:val="100000000000" w:firstRow="1" w:lastRow="0" w:firstColumn="0" w:lastColumn="0" w:oddVBand="0" w:evenVBand="0" w:oddHBand="0" w:evenHBand="0" w:firstRowFirstColumn="0" w:firstRowLastColumn="0" w:lastRowFirstColumn="0" w:lastRowLastColumn="0"/>
              <w:rPr>
                <w:rFonts w:eastAsiaTheme="minorEastAsia"/>
                <w:i/>
                <w:lang w:val="en-US"/>
              </w:rPr>
            </w:pPr>
          </w:p>
        </w:tc>
        <w:tc>
          <w:tcPr>
            <w:tcW w:w="2410" w:type="dxa"/>
            <w:gridSpan w:val="2"/>
            <w:shd w:val="clear" w:color="auto" w:fill="95B3D7" w:themeFill="accent1" w:themeFillTint="99"/>
          </w:tcPr>
          <w:p w14:paraId="27E758CE" w14:textId="77777777" w:rsidR="00D00979" w:rsidRPr="007F2771" w:rsidRDefault="00D00979" w:rsidP="00161D46">
            <w:pPr>
              <w:spacing w:after="80"/>
              <w:jc w:val="both"/>
              <w:cnfStyle w:val="100000000000" w:firstRow="1" w:lastRow="0" w:firstColumn="0" w:lastColumn="0" w:oddVBand="0" w:evenVBand="0" w:oddHBand="0" w:evenHBand="0" w:firstRowFirstColumn="0" w:firstRowLastColumn="0" w:lastRowFirstColumn="0" w:lastRowLastColumn="0"/>
              <w:rPr>
                <w:rFonts w:eastAsiaTheme="minorEastAsia"/>
                <w:lang w:val="en-US"/>
              </w:rPr>
            </w:pPr>
            <w:r w:rsidRPr="007F2771">
              <w:rPr>
                <w:rFonts w:eastAsiaTheme="minorEastAsia"/>
                <w:i/>
                <w:lang w:val="en-US"/>
              </w:rPr>
              <w:t>S</w:t>
            </w:r>
            <w:r w:rsidRPr="007F2771">
              <w:rPr>
                <w:rFonts w:eastAsiaTheme="minorEastAsia"/>
                <w:vertAlign w:val="subscript"/>
                <w:lang w:val="en-US"/>
              </w:rPr>
              <w:t>1</w:t>
            </w:r>
            <w:r w:rsidRPr="007F2771">
              <w:rPr>
                <w:rFonts w:eastAsiaTheme="minorEastAsia"/>
                <w:lang w:val="en-US"/>
              </w:rPr>
              <w:t xml:space="preserve"> </w:t>
            </w:r>
            <w:r w:rsidRPr="007F2771">
              <w:rPr>
                <w:rFonts w:eastAsiaTheme="minorEastAsia"/>
                <w:lang w:val="en-US"/>
              </w:rPr>
              <w:sym w:font="Symbol" w:char="F02D"/>
            </w:r>
            <w:r w:rsidRPr="007F2771">
              <w:rPr>
                <w:rFonts w:eastAsiaTheme="minorEastAsia"/>
                <w:lang w:val="en-US"/>
              </w:rPr>
              <w:t xml:space="preserve"> </w:t>
            </w:r>
            <w:r w:rsidRPr="007F2771">
              <w:rPr>
                <w:rFonts w:eastAsiaTheme="minorEastAsia"/>
                <w:i/>
                <w:lang w:val="en-US"/>
              </w:rPr>
              <w:t>S</w:t>
            </w:r>
            <w:r w:rsidRPr="007F2771">
              <w:rPr>
                <w:rFonts w:eastAsiaTheme="minorEastAsia"/>
                <w:vertAlign w:val="subscript"/>
                <w:lang w:val="en-US"/>
              </w:rPr>
              <w:t>3</w:t>
            </w:r>
            <w:r w:rsidRPr="007F2771">
              <w:rPr>
                <w:rFonts w:eastAsiaTheme="minorEastAsia"/>
                <w:lang w:val="en-US"/>
              </w:rPr>
              <w:t xml:space="preserve"> test</w:t>
            </w:r>
          </w:p>
        </w:tc>
        <w:tc>
          <w:tcPr>
            <w:tcW w:w="2693" w:type="dxa"/>
            <w:gridSpan w:val="2"/>
            <w:shd w:val="clear" w:color="auto" w:fill="95B3D7" w:themeFill="accent1" w:themeFillTint="99"/>
          </w:tcPr>
          <w:p w14:paraId="71468E0E" w14:textId="77777777" w:rsidR="00D00979" w:rsidRPr="007F2771" w:rsidRDefault="00D00979" w:rsidP="00161D46">
            <w:pPr>
              <w:spacing w:after="80"/>
              <w:jc w:val="both"/>
              <w:cnfStyle w:val="100000000000" w:firstRow="1" w:lastRow="0" w:firstColumn="0" w:lastColumn="0" w:oddVBand="0" w:evenVBand="0" w:oddHBand="0" w:evenHBand="0" w:firstRowFirstColumn="0" w:firstRowLastColumn="0" w:lastRowFirstColumn="0" w:lastRowLastColumn="0"/>
              <w:rPr>
                <w:rFonts w:eastAsiaTheme="minorEastAsia"/>
                <w:lang w:val="en-US"/>
              </w:rPr>
            </w:pPr>
            <w:r w:rsidRPr="007F2771">
              <w:rPr>
                <w:rFonts w:eastAsiaTheme="minorEastAsia"/>
                <w:i/>
                <w:lang w:val="en-US"/>
              </w:rPr>
              <w:t>S</w:t>
            </w:r>
            <w:r w:rsidRPr="007F2771">
              <w:rPr>
                <w:rFonts w:eastAsiaTheme="minorEastAsia"/>
                <w:vertAlign w:val="subscript"/>
                <w:lang w:val="en-US"/>
              </w:rPr>
              <w:t>11</w:t>
            </w:r>
            <w:r w:rsidRPr="007F2771">
              <w:rPr>
                <w:rFonts w:eastAsiaTheme="minorEastAsia"/>
                <w:lang w:val="en-US"/>
              </w:rPr>
              <w:t xml:space="preserve"> </w:t>
            </w:r>
            <w:r w:rsidRPr="007F2771">
              <w:rPr>
                <w:rFonts w:eastAsiaTheme="minorEastAsia"/>
                <w:lang w:val="en-US"/>
              </w:rPr>
              <w:sym w:font="Symbol" w:char="F02D"/>
            </w:r>
            <w:r w:rsidRPr="007F2771">
              <w:rPr>
                <w:rFonts w:eastAsiaTheme="minorEastAsia"/>
                <w:lang w:val="en-US"/>
              </w:rPr>
              <w:t xml:space="preserve"> </w:t>
            </w:r>
            <w:r w:rsidRPr="007F2771">
              <w:rPr>
                <w:rFonts w:eastAsiaTheme="minorEastAsia"/>
                <w:i/>
                <w:lang w:val="en-US"/>
              </w:rPr>
              <w:t>S</w:t>
            </w:r>
            <w:r w:rsidRPr="007F2771">
              <w:rPr>
                <w:rFonts w:eastAsiaTheme="minorEastAsia"/>
                <w:vertAlign w:val="subscript"/>
                <w:lang w:val="en-US"/>
              </w:rPr>
              <w:t>33</w:t>
            </w:r>
            <w:r w:rsidRPr="007F2771">
              <w:rPr>
                <w:rFonts w:eastAsiaTheme="minorEastAsia"/>
                <w:lang w:val="en-US"/>
              </w:rPr>
              <w:t xml:space="preserve"> test</w:t>
            </w:r>
          </w:p>
        </w:tc>
      </w:tr>
      <w:tr w:rsidR="00D00979" w:rsidRPr="007F2771" w14:paraId="4C53B766" w14:textId="77777777" w:rsidTr="00161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dxa"/>
            <w:vMerge/>
            <w:shd w:val="clear" w:color="auto" w:fill="95B3D7" w:themeFill="accent1" w:themeFillTint="99"/>
          </w:tcPr>
          <w:p w14:paraId="25C4E439" w14:textId="77777777" w:rsidR="00D00979" w:rsidRPr="007F2771" w:rsidRDefault="00D00979" w:rsidP="00161D46">
            <w:pPr>
              <w:spacing w:after="80"/>
              <w:jc w:val="both"/>
              <w:rPr>
                <w:rFonts w:eastAsiaTheme="minorEastAsia"/>
                <w:lang w:val="en-US"/>
              </w:rPr>
            </w:pPr>
          </w:p>
        </w:tc>
        <w:tc>
          <w:tcPr>
            <w:tcW w:w="615" w:type="dxa"/>
            <w:shd w:val="clear" w:color="auto" w:fill="95B3D7" w:themeFill="accent1" w:themeFillTint="99"/>
          </w:tcPr>
          <w:p w14:paraId="0D74194E" w14:textId="77777777" w:rsidR="00D00979" w:rsidRPr="000C77C5"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ascii="Symbol" w:eastAsiaTheme="minorEastAsia" w:hAnsi="Symbol"/>
                <w:lang w:val="en-US"/>
              </w:rPr>
            </w:pPr>
            <w:r w:rsidRPr="000C77C5">
              <w:rPr>
                <w:rFonts w:ascii="Symbol" w:eastAsiaTheme="minorEastAsia" w:hAnsi="Symbol"/>
                <w:i/>
                <w:lang w:val="en-US"/>
              </w:rPr>
              <w:t></w:t>
            </w:r>
          </w:p>
        </w:tc>
        <w:tc>
          <w:tcPr>
            <w:tcW w:w="811" w:type="dxa"/>
            <w:shd w:val="clear" w:color="auto" w:fill="95B3D7" w:themeFill="accent1" w:themeFillTint="99"/>
          </w:tcPr>
          <w:p w14:paraId="39FB7A76" w14:textId="77777777" w:rsidR="00D00979" w:rsidRPr="007F2771" w:rsidRDefault="00D00979" w:rsidP="00161D46">
            <w:pPr>
              <w:spacing w:after="80"/>
              <w:jc w:val="right"/>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i/>
                <w:lang w:val="en-US"/>
              </w:rPr>
              <w:t>n</w:t>
            </w:r>
          </w:p>
        </w:tc>
        <w:tc>
          <w:tcPr>
            <w:tcW w:w="992" w:type="dxa"/>
            <w:shd w:val="clear" w:color="auto" w:fill="95B3D7" w:themeFill="accent1" w:themeFillTint="99"/>
          </w:tcPr>
          <w:p w14:paraId="7F95D263" w14:textId="77777777" w:rsidR="00D00979" w:rsidRPr="007F2771"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i/>
                <w:lang w:val="en-US"/>
              </w:rPr>
              <w:t>p</w:t>
            </w:r>
            <w:r w:rsidRPr="007F2771">
              <w:rPr>
                <w:rFonts w:eastAsiaTheme="minorEastAsia"/>
                <w:lang w:val="en-US"/>
              </w:rPr>
              <w:t>-value</w:t>
            </w:r>
          </w:p>
        </w:tc>
        <w:tc>
          <w:tcPr>
            <w:tcW w:w="1418" w:type="dxa"/>
            <w:shd w:val="clear" w:color="auto" w:fill="95B3D7" w:themeFill="accent1" w:themeFillTint="99"/>
          </w:tcPr>
          <w:p w14:paraId="31B511C8" w14:textId="77777777" w:rsidR="00D00979" w:rsidRPr="007F2771"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lang w:val="en-US"/>
              </w:rPr>
              <w:t># of modes</w:t>
            </w:r>
          </w:p>
        </w:tc>
        <w:tc>
          <w:tcPr>
            <w:tcW w:w="993" w:type="dxa"/>
            <w:shd w:val="clear" w:color="auto" w:fill="95B3D7" w:themeFill="accent1" w:themeFillTint="99"/>
          </w:tcPr>
          <w:p w14:paraId="0A77FC34" w14:textId="77777777" w:rsidR="00D00979" w:rsidRPr="007F2771"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i/>
                <w:lang w:val="en-US"/>
              </w:rPr>
              <w:t>p</w:t>
            </w:r>
            <w:r w:rsidRPr="007F2771">
              <w:rPr>
                <w:rFonts w:eastAsiaTheme="minorEastAsia"/>
                <w:lang w:val="en-US"/>
              </w:rPr>
              <w:t>-value</w:t>
            </w:r>
          </w:p>
        </w:tc>
        <w:tc>
          <w:tcPr>
            <w:tcW w:w="1700" w:type="dxa"/>
            <w:shd w:val="clear" w:color="auto" w:fill="95B3D7" w:themeFill="accent1" w:themeFillTint="99"/>
          </w:tcPr>
          <w:p w14:paraId="38130280" w14:textId="77777777" w:rsidR="00D00979" w:rsidRPr="007F2771"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lang w:val="en-US"/>
              </w:rPr>
              <w:t># of modes</w:t>
            </w:r>
          </w:p>
        </w:tc>
      </w:tr>
      <w:tr w:rsidR="00D00979" w:rsidRPr="007F2771" w14:paraId="4EF83687" w14:textId="77777777" w:rsidTr="00161D46">
        <w:tc>
          <w:tcPr>
            <w:cnfStyle w:val="001000000000" w:firstRow="0" w:lastRow="0" w:firstColumn="1" w:lastColumn="0" w:oddVBand="0" w:evenVBand="0" w:oddHBand="0" w:evenHBand="0" w:firstRowFirstColumn="0" w:firstRowLastColumn="0" w:lastRowFirstColumn="0" w:lastRowLastColumn="0"/>
            <w:tcW w:w="1693" w:type="dxa"/>
          </w:tcPr>
          <w:p w14:paraId="42AFA829" w14:textId="77777777" w:rsidR="00D00979" w:rsidRPr="007F2771" w:rsidRDefault="00D00979" w:rsidP="00161D46">
            <w:pPr>
              <w:spacing w:after="80"/>
              <w:jc w:val="both"/>
              <w:rPr>
                <w:rFonts w:eastAsiaTheme="minorEastAsia"/>
                <w:lang w:val="en-US"/>
              </w:rPr>
            </w:pPr>
            <w:r w:rsidRPr="007F2771">
              <w:rPr>
                <w:rFonts w:eastAsiaTheme="minorEastAsia"/>
                <w:lang w:val="en-US"/>
              </w:rPr>
              <w:t>4</w:t>
            </w:r>
          </w:p>
        </w:tc>
        <w:tc>
          <w:tcPr>
            <w:tcW w:w="615" w:type="dxa"/>
          </w:tcPr>
          <w:p w14:paraId="67D2FA25" w14:textId="77777777" w:rsidR="00D00979" w:rsidRPr="007F2771"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7F2771">
              <w:rPr>
                <w:rFonts w:eastAsiaTheme="minorEastAsia"/>
                <w:lang w:val="en-US"/>
              </w:rPr>
              <w:t>10</w:t>
            </w:r>
          </w:p>
        </w:tc>
        <w:tc>
          <w:tcPr>
            <w:tcW w:w="811" w:type="dxa"/>
          </w:tcPr>
          <w:p w14:paraId="23D341B3" w14:textId="77777777" w:rsidR="00D00979" w:rsidRPr="007F2771" w:rsidRDefault="00D00979" w:rsidP="00161D46">
            <w:pPr>
              <w:spacing w:after="80"/>
              <w:jc w:val="right"/>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7F2771">
              <w:rPr>
                <w:rFonts w:eastAsiaTheme="minorEastAsia"/>
                <w:lang w:val="en-US"/>
              </w:rPr>
              <w:t>52</w:t>
            </w:r>
          </w:p>
        </w:tc>
        <w:tc>
          <w:tcPr>
            <w:tcW w:w="992" w:type="dxa"/>
          </w:tcPr>
          <w:p w14:paraId="7A8C24D9" w14:textId="77777777" w:rsidR="00D00979" w:rsidRPr="007F2771"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7F2771">
              <w:rPr>
                <w:rFonts w:eastAsiaTheme="minorEastAsia"/>
                <w:lang w:val="en-US"/>
              </w:rPr>
              <w:t>0.00</w:t>
            </w:r>
          </w:p>
        </w:tc>
        <w:tc>
          <w:tcPr>
            <w:tcW w:w="1418" w:type="dxa"/>
          </w:tcPr>
          <w:p w14:paraId="6D6E9B34" w14:textId="77777777" w:rsidR="00D00979" w:rsidRPr="007F2771"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7F2771">
              <w:rPr>
                <w:rFonts w:eastAsiaTheme="minorEastAsia"/>
                <w:lang w:val="en-US"/>
              </w:rPr>
              <w:t>&gt; 2</w:t>
            </w:r>
          </w:p>
        </w:tc>
        <w:tc>
          <w:tcPr>
            <w:tcW w:w="993" w:type="dxa"/>
          </w:tcPr>
          <w:p w14:paraId="47451C31" w14:textId="77777777" w:rsidR="00D00979" w:rsidRPr="007F2771"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7F2771">
              <w:rPr>
                <w:rFonts w:eastAsiaTheme="minorEastAsia"/>
                <w:lang w:val="en-US"/>
              </w:rPr>
              <w:t>0.00</w:t>
            </w:r>
          </w:p>
        </w:tc>
        <w:tc>
          <w:tcPr>
            <w:tcW w:w="1700" w:type="dxa"/>
          </w:tcPr>
          <w:p w14:paraId="415758D8" w14:textId="77777777" w:rsidR="00D00979" w:rsidRPr="007F2771"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7F2771">
              <w:rPr>
                <w:rFonts w:eastAsiaTheme="minorEastAsia"/>
                <w:lang w:val="en-US"/>
              </w:rPr>
              <w:t>&gt; 2</w:t>
            </w:r>
          </w:p>
        </w:tc>
      </w:tr>
      <w:tr w:rsidR="00D00979" w:rsidRPr="007F2771" w14:paraId="43794F67" w14:textId="77777777" w:rsidTr="00161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dxa"/>
          </w:tcPr>
          <w:p w14:paraId="2350ADA4" w14:textId="77777777" w:rsidR="00D00979" w:rsidRPr="007F2771" w:rsidRDefault="00D00979" w:rsidP="00161D46">
            <w:pPr>
              <w:spacing w:after="80"/>
              <w:jc w:val="both"/>
              <w:rPr>
                <w:rFonts w:eastAsiaTheme="minorEastAsia"/>
                <w:lang w:val="en-US"/>
              </w:rPr>
            </w:pPr>
            <w:r w:rsidRPr="007F2771">
              <w:rPr>
                <w:rFonts w:eastAsiaTheme="minorEastAsia"/>
                <w:lang w:val="en-US"/>
              </w:rPr>
              <w:t>4</w:t>
            </w:r>
          </w:p>
        </w:tc>
        <w:tc>
          <w:tcPr>
            <w:tcW w:w="615" w:type="dxa"/>
          </w:tcPr>
          <w:p w14:paraId="692222D3" w14:textId="77777777" w:rsidR="00D00979" w:rsidRPr="007F2771"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lang w:val="en-US"/>
              </w:rPr>
              <w:t>10</w:t>
            </w:r>
          </w:p>
        </w:tc>
        <w:tc>
          <w:tcPr>
            <w:tcW w:w="811" w:type="dxa"/>
          </w:tcPr>
          <w:p w14:paraId="5D9EE5F9" w14:textId="77777777" w:rsidR="00D00979" w:rsidRPr="007F2771" w:rsidRDefault="00D00979" w:rsidP="00161D46">
            <w:pPr>
              <w:spacing w:after="80"/>
              <w:jc w:val="right"/>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lang w:val="en-US"/>
              </w:rPr>
              <w:t>360</w:t>
            </w:r>
          </w:p>
        </w:tc>
        <w:tc>
          <w:tcPr>
            <w:tcW w:w="992" w:type="dxa"/>
          </w:tcPr>
          <w:p w14:paraId="33E95BD2" w14:textId="77777777" w:rsidR="00D00979" w:rsidRPr="007F2771"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lang w:val="en-US"/>
              </w:rPr>
              <w:t>0.00</w:t>
            </w:r>
          </w:p>
        </w:tc>
        <w:tc>
          <w:tcPr>
            <w:tcW w:w="1418" w:type="dxa"/>
          </w:tcPr>
          <w:p w14:paraId="1A746361" w14:textId="77777777" w:rsidR="00D00979" w:rsidRPr="007F2771"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lang w:val="en-US"/>
              </w:rPr>
              <w:t>&gt; 2</w:t>
            </w:r>
          </w:p>
        </w:tc>
        <w:tc>
          <w:tcPr>
            <w:tcW w:w="993" w:type="dxa"/>
          </w:tcPr>
          <w:p w14:paraId="7E153CC7" w14:textId="77777777" w:rsidR="00D00979" w:rsidRPr="007F2771"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lang w:val="en-US"/>
              </w:rPr>
              <w:t>0.00</w:t>
            </w:r>
          </w:p>
        </w:tc>
        <w:tc>
          <w:tcPr>
            <w:tcW w:w="1700" w:type="dxa"/>
          </w:tcPr>
          <w:p w14:paraId="0FC99582" w14:textId="77777777" w:rsidR="00D00979" w:rsidRPr="007F2771"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lang w:val="en-US"/>
              </w:rPr>
              <w:t>&gt; 2</w:t>
            </w:r>
          </w:p>
        </w:tc>
      </w:tr>
      <w:tr w:rsidR="00D00979" w:rsidRPr="007F2771" w14:paraId="172729DF" w14:textId="77777777" w:rsidTr="00161D46">
        <w:tc>
          <w:tcPr>
            <w:cnfStyle w:val="001000000000" w:firstRow="0" w:lastRow="0" w:firstColumn="1" w:lastColumn="0" w:oddVBand="0" w:evenVBand="0" w:oddHBand="0" w:evenHBand="0" w:firstRowFirstColumn="0" w:firstRowLastColumn="0" w:lastRowFirstColumn="0" w:lastRowLastColumn="0"/>
            <w:tcW w:w="1693" w:type="dxa"/>
          </w:tcPr>
          <w:p w14:paraId="1FE7FE95" w14:textId="77777777" w:rsidR="00D00979" w:rsidRPr="007F2771" w:rsidRDefault="00D00979" w:rsidP="00161D46">
            <w:pPr>
              <w:spacing w:after="80"/>
              <w:jc w:val="both"/>
              <w:rPr>
                <w:rFonts w:eastAsiaTheme="minorEastAsia"/>
                <w:lang w:val="en-US"/>
              </w:rPr>
            </w:pPr>
            <w:r w:rsidRPr="007F2771">
              <w:rPr>
                <w:rFonts w:eastAsiaTheme="minorEastAsia"/>
                <w:lang w:val="en-US"/>
              </w:rPr>
              <w:t>4</w:t>
            </w:r>
          </w:p>
        </w:tc>
        <w:tc>
          <w:tcPr>
            <w:tcW w:w="615" w:type="dxa"/>
          </w:tcPr>
          <w:p w14:paraId="221E5DA4" w14:textId="77777777" w:rsidR="00D00979" w:rsidRPr="007F2771"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7F2771">
              <w:rPr>
                <w:rFonts w:eastAsiaTheme="minorEastAsia"/>
                <w:lang w:val="en-US"/>
              </w:rPr>
              <w:t>20</w:t>
            </w:r>
          </w:p>
        </w:tc>
        <w:tc>
          <w:tcPr>
            <w:tcW w:w="811" w:type="dxa"/>
          </w:tcPr>
          <w:p w14:paraId="01FB294F" w14:textId="77777777" w:rsidR="00D00979" w:rsidRPr="007F2771" w:rsidRDefault="00D00979" w:rsidP="00161D46">
            <w:pPr>
              <w:spacing w:after="80"/>
              <w:jc w:val="right"/>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7F2771">
              <w:rPr>
                <w:rFonts w:eastAsiaTheme="minorEastAsia"/>
                <w:lang w:val="en-US"/>
              </w:rPr>
              <w:t>52</w:t>
            </w:r>
          </w:p>
        </w:tc>
        <w:tc>
          <w:tcPr>
            <w:tcW w:w="992" w:type="dxa"/>
          </w:tcPr>
          <w:p w14:paraId="1B6C6F2D" w14:textId="77777777" w:rsidR="00D00979" w:rsidRPr="007F2771"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7F2771">
              <w:rPr>
                <w:rFonts w:eastAsiaTheme="minorEastAsia"/>
                <w:lang w:val="en-US"/>
              </w:rPr>
              <w:t>0.00</w:t>
            </w:r>
          </w:p>
        </w:tc>
        <w:tc>
          <w:tcPr>
            <w:tcW w:w="1418" w:type="dxa"/>
          </w:tcPr>
          <w:p w14:paraId="29F1E306" w14:textId="77777777" w:rsidR="00D00979" w:rsidRPr="007F2771"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7F2771">
              <w:rPr>
                <w:rFonts w:eastAsiaTheme="minorEastAsia"/>
                <w:lang w:val="en-US"/>
              </w:rPr>
              <w:t>&gt; 2</w:t>
            </w:r>
          </w:p>
        </w:tc>
        <w:tc>
          <w:tcPr>
            <w:tcW w:w="993" w:type="dxa"/>
          </w:tcPr>
          <w:p w14:paraId="3F9F2736" w14:textId="77777777" w:rsidR="00D00979" w:rsidRPr="007F2771"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7F2771">
              <w:rPr>
                <w:rFonts w:eastAsiaTheme="minorEastAsia"/>
                <w:lang w:val="en-US"/>
              </w:rPr>
              <w:t>0.00</w:t>
            </w:r>
          </w:p>
        </w:tc>
        <w:tc>
          <w:tcPr>
            <w:tcW w:w="1700" w:type="dxa"/>
          </w:tcPr>
          <w:p w14:paraId="57B007C6" w14:textId="77777777" w:rsidR="00D00979" w:rsidRPr="007F2771"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7F2771">
              <w:rPr>
                <w:rFonts w:eastAsiaTheme="minorEastAsia"/>
                <w:lang w:val="en-US"/>
              </w:rPr>
              <w:t>&gt; 2</w:t>
            </w:r>
          </w:p>
        </w:tc>
      </w:tr>
      <w:tr w:rsidR="00D00979" w:rsidRPr="007F2771" w14:paraId="04D03EAC" w14:textId="77777777" w:rsidTr="00161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dxa"/>
          </w:tcPr>
          <w:p w14:paraId="547E1BEA" w14:textId="77777777" w:rsidR="00D00979" w:rsidRPr="007F2771" w:rsidRDefault="00D00979" w:rsidP="00161D46">
            <w:pPr>
              <w:spacing w:after="80"/>
              <w:jc w:val="both"/>
              <w:rPr>
                <w:rFonts w:eastAsiaTheme="minorEastAsia"/>
                <w:lang w:val="en-US"/>
              </w:rPr>
            </w:pPr>
            <w:r w:rsidRPr="007F2771">
              <w:rPr>
                <w:rFonts w:eastAsiaTheme="minorEastAsia"/>
                <w:lang w:val="en-US"/>
              </w:rPr>
              <w:t>4</w:t>
            </w:r>
          </w:p>
        </w:tc>
        <w:tc>
          <w:tcPr>
            <w:tcW w:w="615" w:type="dxa"/>
          </w:tcPr>
          <w:p w14:paraId="0501B9ED" w14:textId="77777777" w:rsidR="00D00979" w:rsidRPr="007F2771"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lang w:val="en-US"/>
              </w:rPr>
              <w:t>20</w:t>
            </w:r>
          </w:p>
        </w:tc>
        <w:tc>
          <w:tcPr>
            <w:tcW w:w="811" w:type="dxa"/>
          </w:tcPr>
          <w:p w14:paraId="2E466B60" w14:textId="77777777" w:rsidR="00D00979" w:rsidRPr="007F2771" w:rsidRDefault="00D00979" w:rsidP="00161D46">
            <w:pPr>
              <w:spacing w:after="80"/>
              <w:jc w:val="right"/>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lang w:val="en-US"/>
              </w:rPr>
              <w:t>360</w:t>
            </w:r>
          </w:p>
        </w:tc>
        <w:tc>
          <w:tcPr>
            <w:tcW w:w="992" w:type="dxa"/>
          </w:tcPr>
          <w:p w14:paraId="5E921724" w14:textId="77777777" w:rsidR="00D00979" w:rsidRPr="007F2771"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lang w:val="en-US"/>
              </w:rPr>
              <w:t>0.00</w:t>
            </w:r>
          </w:p>
        </w:tc>
        <w:tc>
          <w:tcPr>
            <w:tcW w:w="1418" w:type="dxa"/>
          </w:tcPr>
          <w:p w14:paraId="258EB50B" w14:textId="77777777" w:rsidR="00D00979" w:rsidRPr="007F2771"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lang w:val="en-US"/>
              </w:rPr>
              <w:t>&gt; 2</w:t>
            </w:r>
          </w:p>
        </w:tc>
        <w:tc>
          <w:tcPr>
            <w:tcW w:w="993" w:type="dxa"/>
          </w:tcPr>
          <w:p w14:paraId="6EC42F39" w14:textId="77777777" w:rsidR="00D00979" w:rsidRPr="007F2771"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lang w:val="en-US"/>
              </w:rPr>
              <w:t>0.00</w:t>
            </w:r>
          </w:p>
        </w:tc>
        <w:tc>
          <w:tcPr>
            <w:tcW w:w="1700" w:type="dxa"/>
          </w:tcPr>
          <w:p w14:paraId="7754A1CD" w14:textId="77777777" w:rsidR="00D00979" w:rsidRPr="007F2771"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lang w:val="en-US"/>
              </w:rPr>
              <w:t>&gt; 2</w:t>
            </w:r>
          </w:p>
        </w:tc>
      </w:tr>
      <w:tr w:rsidR="00D00979" w:rsidRPr="007F2771" w14:paraId="7EF40A88" w14:textId="77777777" w:rsidTr="00161D46">
        <w:tc>
          <w:tcPr>
            <w:cnfStyle w:val="001000000000" w:firstRow="0" w:lastRow="0" w:firstColumn="1" w:lastColumn="0" w:oddVBand="0" w:evenVBand="0" w:oddHBand="0" w:evenHBand="0" w:firstRowFirstColumn="0" w:firstRowLastColumn="0" w:lastRowFirstColumn="0" w:lastRowLastColumn="0"/>
            <w:tcW w:w="1693" w:type="dxa"/>
          </w:tcPr>
          <w:p w14:paraId="4400F013" w14:textId="77777777" w:rsidR="00D00979" w:rsidRPr="007F2771" w:rsidRDefault="00D00979" w:rsidP="00161D46">
            <w:pPr>
              <w:spacing w:after="80"/>
              <w:jc w:val="both"/>
              <w:rPr>
                <w:rFonts w:eastAsiaTheme="minorEastAsia"/>
                <w:lang w:val="en-US"/>
              </w:rPr>
            </w:pPr>
            <w:r w:rsidRPr="007F2771">
              <w:rPr>
                <w:rFonts w:eastAsiaTheme="minorEastAsia"/>
                <w:lang w:val="en-US"/>
              </w:rPr>
              <w:t>4</w:t>
            </w:r>
          </w:p>
        </w:tc>
        <w:tc>
          <w:tcPr>
            <w:tcW w:w="615" w:type="dxa"/>
          </w:tcPr>
          <w:p w14:paraId="7306ED74" w14:textId="77777777" w:rsidR="00D00979" w:rsidRPr="007F2771"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7F2771">
              <w:rPr>
                <w:rFonts w:eastAsiaTheme="minorEastAsia"/>
                <w:lang w:val="en-US"/>
              </w:rPr>
              <w:t>50</w:t>
            </w:r>
          </w:p>
        </w:tc>
        <w:tc>
          <w:tcPr>
            <w:tcW w:w="811" w:type="dxa"/>
          </w:tcPr>
          <w:p w14:paraId="6BD07233" w14:textId="77777777" w:rsidR="00D00979" w:rsidRPr="007F2771" w:rsidRDefault="00D00979" w:rsidP="00161D46">
            <w:pPr>
              <w:spacing w:after="80"/>
              <w:jc w:val="right"/>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7F2771">
              <w:rPr>
                <w:rFonts w:eastAsiaTheme="minorEastAsia"/>
                <w:lang w:val="en-US"/>
              </w:rPr>
              <w:t>52</w:t>
            </w:r>
          </w:p>
        </w:tc>
        <w:tc>
          <w:tcPr>
            <w:tcW w:w="992" w:type="dxa"/>
          </w:tcPr>
          <w:p w14:paraId="36BA007F" w14:textId="77777777" w:rsidR="00D00979" w:rsidRPr="007F2771"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7F2771">
              <w:rPr>
                <w:rFonts w:eastAsiaTheme="minorEastAsia"/>
                <w:lang w:val="en-US"/>
              </w:rPr>
              <w:t>0.00</w:t>
            </w:r>
          </w:p>
        </w:tc>
        <w:tc>
          <w:tcPr>
            <w:tcW w:w="1418" w:type="dxa"/>
          </w:tcPr>
          <w:p w14:paraId="18B1C641" w14:textId="77777777" w:rsidR="00D00979" w:rsidRPr="007F2771"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7F2771">
              <w:rPr>
                <w:rFonts w:eastAsiaTheme="minorEastAsia"/>
                <w:lang w:val="en-US"/>
              </w:rPr>
              <w:t>&gt; 2</w:t>
            </w:r>
          </w:p>
        </w:tc>
        <w:tc>
          <w:tcPr>
            <w:tcW w:w="993" w:type="dxa"/>
          </w:tcPr>
          <w:p w14:paraId="770F7557" w14:textId="77777777" w:rsidR="00D00979" w:rsidRPr="007F2771"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7F2771">
              <w:rPr>
                <w:rFonts w:eastAsiaTheme="minorEastAsia"/>
                <w:lang w:val="en-US"/>
              </w:rPr>
              <w:t>0.00</w:t>
            </w:r>
          </w:p>
        </w:tc>
        <w:tc>
          <w:tcPr>
            <w:tcW w:w="1700" w:type="dxa"/>
          </w:tcPr>
          <w:p w14:paraId="2715809F" w14:textId="77777777" w:rsidR="00D00979" w:rsidRPr="007F2771"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7F2771">
              <w:rPr>
                <w:rFonts w:eastAsiaTheme="minorEastAsia"/>
                <w:lang w:val="en-US"/>
              </w:rPr>
              <w:t>&gt; 2</w:t>
            </w:r>
          </w:p>
        </w:tc>
      </w:tr>
      <w:tr w:rsidR="00D00979" w:rsidRPr="007F2771" w14:paraId="015B0C30" w14:textId="77777777" w:rsidTr="00161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dxa"/>
          </w:tcPr>
          <w:p w14:paraId="7344FB24" w14:textId="77777777" w:rsidR="00D00979" w:rsidRPr="007F2771" w:rsidRDefault="00D00979" w:rsidP="00161D46">
            <w:pPr>
              <w:spacing w:after="80"/>
              <w:jc w:val="both"/>
              <w:rPr>
                <w:rFonts w:eastAsiaTheme="minorEastAsia"/>
                <w:lang w:val="en-US"/>
              </w:rPr>
            </w:pPr>
            <w:r w:rsidRPr="007F2771">
              <w:rPr>
                <w:rFonts w:eastAsiaTheme="minorEastAsia"/>
                <w:lang w:val="en-US"/>
              </w:rPr>
              <w:t>4</w:t>
            </w:r>
          </w:p>
        </w:tc>
        <w:tc>
          <w:tcPr>
            <w:tcW w:w="615" w:type="dxa"/>
          </w:tcPr>
          <w:p w14:paraId="3863781C" w14:textId="77777777" w:rsidR="00D00979" w:rsidRPr="007F2771"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lang w:val="en-US"/>
              </w:rPr>
              <w:t>50</w:t>
            </w:r>
          </w:p>
        </w:tc>
        <w:tc>
          <w:tcPr>
            <w:tcW w:w="811" w:type="dxa"/>
          </w:tcPr>
          <w:p w14:paraId="5B039087" w14:textId="77777777" w:rsidR="00D00979" w:rsidRPr="007F2771" w:rsidRDefault="00D00979" w:rsidP="00161D46">
            <w:pPr>
              <w:spacing w:after="80"/>
              <w:jc w:val="right"/>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lang w:val="en-US"/>
              </w:rPr>
              <w:t>360</w:t>
            </w:r>
          </w:p>
        </w:tc>
        <w:tc>
          <w:tcPr>
            <w:tcW w:w="992" w:type="dxa"/>
          </w:tcPr>
          <w:p w14:paraId="32CC7A63" w14:textId="77777777" w:rsidR="00D00979" w:rsidRPr="007F2771"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lang w:val="en-US"/>
              </w:rPr>
              <w:t>0.00</w:t>
            </w:r>
          </w:p>
        </w:tc>
        <w:tc>
          <w:tcPr>
            <w:tcW w:w="1418" w:type="dxa"/>
          </w:tcPr>
          <w:p w14:paraId="697FFEA8" w14:textId="77777777" w:rsidR="00D00979" w:rsidRPr="007F2771"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lang w:val="en-US"/>
              </w:rPr>
              <w:t>&gt; 2</w:t>
            </w:r>
          </w:p>
        </w:tc>
        <w:tc>
          <w:tcPr>
            <w:tcW w:w="993" w:type="dxa"/>
          </w:tcPr>
          <w:p w14:paraId="6E5952F0" w14:textId="77777777" w:rsidR="00D00979" w:rsidRPr="007F2771"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lang w:val="en-US"/>
              </w:rPr>
              <w:t>0.00</w:t>
            </w:r>
          </w:p>
        </w:tc>
        <w:tc>
          <w:tcPr>
            <w:tcW w:w="1700" w:type="dxa"/>
          </w:tcPr>
          <w:p w14:paraId="73CFAE35" w14:textId="77777777" w:rsidR="00D00979" w:rsidRPr="007F2771"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lang w:val="en-US"/>
              </w:rPr>
              <w:t>&gt; 2</w:t>
            </w:r>
          </w:p>
        </w:tc>
      </w:tr>
      <w:tr w:rsidR="00D00979" w:rsidRPr="007F2771" w14:paraId="62FA318E" w14:textId="77777777" w:rsidTr="00161D46">
        <w:tc>
          <w:tcPr>
            <w:cnfStyle w:val="001000000000" w:firstRow="0" w:lastRow="0" w:firstColumn="1" w:lastColumn="0" w:oddVBand="0" w:evenVBand="0" w:oddHBand="0" w:evenHBand="0" w:firstRowFirstColumn="0" w:firstRowLastColumn="0" w:lastRowFirstColumn="0" w:lastRowLastColumn="0"/>
            <w:tcW w:w="1693" w:type="dxa"/>
          </w:tcPr>
          <w:p w14:paraId="1CEF3454" w14:textId="77777777" w:rsidR="00D00979" w:rsidRPr="007F2771" w:rsidRDefault="00D00979" w:rsidP="00161D46">
            <w:pPr>
              <w:spacing w:after="80"/>
              <w:jc w:val="both"/>
              <w:rPr>
                <w:rFonts w:eastAsiaTheme="minorEastAsia"/>
                <w:lang w:val="en-US"/>
              </w:rPr>
            </w:pPr>
            <w:r w:rsidRPr="007F2771">
              <w:rPr>
                <w:rFonts w:eastAsiaTheme="minorEastAsia"/>
                <w:lang w:val="en-US"/>
              </w:rPr>
              <w:t>4</w:t>
            </w:r>
          </w:p>
        </w:tc>
        <w:tc>
          <w:tcPr>
            <w:tcW w:w="615" w:type="dxa"/>
          </w:tcPr>
          <w:p w14:paraId="1FB73869" w14:textId="77777777" w:rsidR="00D00979" w:rsidRPr="007F2771"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7F2771">
              <w:rPr>
                <w:rFonts w:eastAsiaTheme="minorEastAsia"/>
                <w:lang w:val="en-US"/>
              </w:rPr>
              <w:t>100</w:t>
            </w:r>
          </w:p>
        </w:tc>
        <w:tc>
          <w:tcPr>
            <w:tcW w:w="811" w:type="dxa"/>
          </w:tcPr>
          <w:p w14:paraId="52FBD478" w14:textId="77777777" w:rsidR="00D00979" w:rsidRPr="007F2771" w:rsidRDefault="00D00979" w:rsidP="00161D46">
            <w:pPr>
              <w:spacing w:after="80"/>
              <w:jc w:val="right"/>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7F2771">
              <w:rPr>
                <w:rFonts w:eastAsiaTheme="minorEastAsia"/>
                <w:lang w:val="en-US"/>
              </w:rPr>
              <w:t>52</w:t>
            </w:r>
          </w:p>
        </w:tc>
        <w:tc>
          <w:tcPr>
            <w:tcW w:w="992" w:type="dxa"/>
          </w:tcPr>
          <w:p w14:paraId="2212EA42" w14:textId="77777777" w:rsidR="00D00979" w:rsidRPr="007F2771"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7F2771">
              <w:rPr>
                <w:rFonts w:eastAsiaTheme="minorEastAsia"/>
                <w:lang w:val="en-US"/>
              </w:rPr>
              <w:t>0.00</w:t>
            </w:r>
          </w:p>
        </w:tc>
        <w:tc>
          <w:tcPr>
            <w:tcW w:w="1418" w:type="dxa"/>
          </w:tcPr>
          <w:p w14:paraId="4AB19BED" w14:textId="77777777" w:rsidR="00D00979" w:rsidRPr="007F2771"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7F2771">
              <w:rPr>
                <w:rFonts w:eastAsiaTheme="minorEastAsia"/>
                <w:lang w:val="en-US"/>
              </w:rPr>
              <w:t>&gt; 2</w:t>
            </w:r>
          </w:p>
        </w:tc>
        <w:tc>
          <w:tcPr>
            <w:tcW w:w="993" w:type="dxa"/>
          </w:tcPr>
          <w:p w14:paraId="1AB7A48C" w14:textId="77777777" w:rsidR="00D00979" w:rsidRPr="007F2771"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7F2771">
              <w:rPr>
                <w:rFonts w:eastAsiaTheme="minorEastAsia"/>
                <w:lang w:val="en-US"/>
              </w:rPr>
              <w:t>0.00</w:t>
            </w:r>
          </w:p>
        </w:tc>
        <w:tc>
          <w:tcPr>
            <w:tcW w:w="1700" w:type="dxa"/>
          </w:tcPr>
          <w:p w14:paraId="12305359" w14:textId="77777777" w:rsidR="00D00979" w:rsidRPr="007F2771"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7F2771">
              <w:rPr>
                <w:rFonts w:eastAsiaTheme="minorEastAsia"/>
                <w:lang w:val="en-US"/>
              </w:rPr>
              <w:t>&gt; 2</w:t>
            </w:r>
          </w:p>
        </w:tc>
      </w:tr>
      <w:tr w:rsidR="00D00979" w:rsidRPr="007F2771" w14:paraId="432A1896" w14:textId="77777777" w:rsidTr="00161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3" w:type="dxa"/>
          </w:tcPr>
          <w:p w14:paraId="334C0594" w14:textId="77777777" w:rsidR="00D00979" w:rsidRPr="007F2771" w:rsidRDefault="00D00979" w:rsidP="00161D46">
            <w:pPr>
              <w:spacing w:after="80"/>
              <w:jc w:val="both"/>
              <w:rPr>
                <w:rFonts w:eastAsiaTheme="minorEastAsia"/>
                <w:lang w:val="en-US"/>
              </w:rPr>
            </w:pPr>
            <w:r w:rsidRPr="007F2771">
              <w:rPr>
                <w:rFonts w:eastAsiaTheme="minorEastAsia"/>
                <w:lang w:val="en-US"/>
              </w:rPr>
              <w:t>4</w:t>
            </w:r>
          </w:p>
        </w:tc>
        <w:tc>
          <w:tcPr>
            <w:tcW w:w="615" w:type="dxa"/>
          </w:tcPr>
          <w:p w14:paraId="067ED550" w14:textId="77777777" w:rsidR="00D00979" w:rsidRPr="007F2771"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lang w:val="en-US"/>
              </w:rPr>
              <w:t>100</w:t>
            </w:r>
          </w:p>
        </w:tc>
        <w:tc>
          <w:tcPr>
            <w:tcW w:w="811" w:type="dxa"/>
          </w:tcPr>
          <w:p w14:paraId="4ACA09AC" w14:textId="77777777" w:rsidR="00D00979" w:rsidRPr="007F2771" w:rsidRDefault="00D00979" w:rsidP="00161D46">
            <w:pPr>
              <w:spacing w:after="80"/>
              <w:jc w:val="right"/>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lang w:val="en-US"/>
              </w:rPr>
              <w:t>360</w:t>
            </w:r>
          </w:p>
        </w:tc>
        <w:tc>
          <w:tcPr>
            <w:tcW w:w="992" w:type="dxa"/>
          </w:tcPr>
          <w:p w14:paraId="43E1DA62" w14:textId="77777777" w:rsidR="00D00979" w:rsidRPr="007F2771"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lang w:val="en-US"/>
              </w:rPr>
              <w:t>0.00</w:t>
            </w:r>
          </w:p>
        </w:tc>
        <w:tc>
          <w:tcPr>
            <w:tcW w:w="1418" w:type="dxa"/>
          </w:tcPr>
          <w:p w14:paraId="4A83C5B5" w14:textId="77777777" w:rsidR="00D00979" w:rsidRPr="007F2771"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lang w:val="en-US"/>
              </w:rPr>
              <w:t>&gt; 2</w:t>
            </w:r>
          </w:p>
        </w:tc>
        <w:tc>
          <w:tcPr>
            <w:tcW w:w="993" w:type="dxa"/>
          </w:tcPr>
          <w:p w14:paraId="3C447E01" w14:textId="77777777" w:rsidR="00D00979" w:rsidRPr="007F2771"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lang w:val="en-US"/>
              </w:rPr>
              <w:t>0.00</w:t>
            </w:r>
          </w:p>
        </w:tc>
        <w:tc>
          <w:tcPr>
            <w:tcW w:w="1700" w:type="dxa"/>
          </w:tcPr>
          <w:p w14:paraId="2AA2D09E" w14:textId="77777777" w:rsidR="00D00979" w:rsidRPr="007F2771"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7F2771">
              <w:rPr>
                <w:rFonts w:eastAsiaTheme="minorEastAsia"/>
                <w:lang w:val="en-US"/>
              </w:rPr>
              <w:t>&gt; 2</w:t>
            </w:r>
          </w:p>
        </w:tc>
      </w:tr>
    </w:tbl>
    <w:p w14:paraId="40FE0E81" w14:textId="77777777" w:rsidR="00D00979" w:rsidRDefault="00D00979" w:rsidP="00D00979">
      <w:pPr>
        <w:spacing w:after="200" w:line="276" w:lineRule="auto"/>
        <w:jc w:val="both"/>
        <w:rPr>
          <w:lang w:val="en-US"/>
        </w:rPr>
      </w:pPr>
    </w:p>
    <w:p w14:paraId="6D7F46CC" w14:textId="77777777" w:rsidR="00D00979" w:rsidRDefault="00D00979" w:rsidP="00D00979">
      <w:pPr>
        <w:spacing w:after="200" w:line="276" w:lineRule="auto"/>
        <w:jc w:val="both"/>
        <w:rPr>
          <w:lang w:val="en-US"/>
        </w:rPr>
      </w:pPr>
      <w:r w:rsidRPr="007F2771">
        <w:rPr>
          <w:b/>
          <w:lang w:val="en-US"/>
        </w:rPr>
        <w:t>Table 2.</w:t>
      </w:r>
      <w:r w:rsidRPr="007F2771">
        <w:rPr>
          <w:lang w:val="en-US"/>
        </w:rPr>
        <w:t xml:space="preserve"> </w:t>
      </w:r>
      <w:proofErr w:type="gramStart"/>
      <w:r w:rsidRPr="007F2771">
        <w:rPr>
          <w:i/>
          <w:lang w:val="en-US"/>
        </w:rPr>
        <w:t>p</w:t>
      </w:r>
      <w:r w:rsidRPr="007F2771">
        <w:rPr>
          <w:lang w:val="en-US"/>
        </w:rPr>
        <w:t>-values</w:t>
      </w:r>
      <w:proofErr w:type="gramEnd"/>
      <w:r w:rsidRPr="007F2771">
        <w:rPr>
          <w:lang w:val="en-US"/>
        </w:rPr>
        <w:t xml:space="preserve"> and corr</w:t>
      </w:r>
      <w:r>
        <w:rPr>
          <w:lang w:val="en-US"/>
        </w:rPr>
        <w:t>esponding decisions at 5% significance level</w:t>
      </w:r>
      <w:r w:rsidRPr="007F2771">
        <w:rPr>
          <w:lang w:val="en-US"/>
        </w:rPr>
        <w:t xml:space="preserve"> of </w:t>
      </w:r>
      <w:proofErr w:type="spellStart"/>
      <w:r w:rsidRPr="007F2771">
        <w:rPr>
          <w:lang w:val="en-US"/>
        </w:rPr>
        <w:t>randomisation</w:t>
      </w:r>
      <w:proofErr w:type="spellEnd"/>
      <w:r w:rsidRPr="007F2771">
        <w:rPr>
          <w:lang w:val="en-US"/>
        </w:rPr>
        <w:t xml:space="preserve"> tests of bimodality for </w:t>
      </w:r>
      <w:proofErr w:type="spellStart"/>
      <w:r w:rsidRPr="007F2771">
        <w:rPr>
          <w:lang w:val="en-US"/>
        </w:rPr>
        <w:t>quadrimodal</w:t>
      </w:r>
      <w:proofErr w:type="spellEnd"/>
      <w:r w:rsidRPr="007F2771">
        <w:rPr>
          <w:lang w:val="en-US"/>
        </w:rPr>
        <w:t xml:space="preserve"> equal mixtures of Watson distributions. </w:t>
      </w:r>
      <w:r w:rsidRPr="007F2771">
        <w:rPr>
          <w:i/>
          <w:lang w:val="en-US"/>
        </w:rPr>
        <w:t>n</w:t>
      </w:r>
      <w:r>
        <w:rPr>
          <w:lang w:val="en-US"/>
        </w:rPr>
        <w:t xml:space="preserve">=total sample size. </w:t>
      </w:r>
      <w:r w:rsidRPr="00AB39D5">
        <w:rPr>
          <w:i/>
          <w:lang w:val="en-US"/>
        </w:rPr>
        <w:t>B</w:t>
      </w:r>
      <w:r>
        <w:rPr>
          <w:lang w:val="en-US"/>
        </w:rPr>
        <w:t>=</w:t>
      </w:r>
      <w:r w:rsidRPr="007F2771">
        <w:rPr>
          <w:lang w:val="en-US"/>
        </w:rPr>
        <w:t xml:space="preserve">999 further </w:t>
      </w:r>
      <w:proofErr w:type="spellStart"/>
      <w:r w:rsidRPr="007F2771">
        <w:rPr>
          <w:lang w:val="en-US"/>
        </w:rPr>
        <w:t>randomisation</w:t>
      </w:r>
      <w:proofErr w:type="spellEnd"/>
      <w:r w:rsidRPr="007F2771">
        <w:rPr>
          <w:lang w:val="en-US"/>
        </w:rPr>
        <w:t xml:space="preserve"> samples per data set</w:t>
      </w:r>
      <w:r>
        <w:rPr>
          <w:lang w:val="en-US"/>
        </w:rPr>
        <w:t xml:space="preserve"> (see text for details)</w:t>
      </w:r>
      <w:r w:rsidRPr="007F2771">
        <w:rPr>
          <w:lang w:val="en-US"/>
        </w:rPr>
        <w:t>.</w:t>
      </w:r>
    </w:p>
    <w:p w14:paraId="46CBFB71" w14:textId="77777777" w:rsidR="00D00979" w:rsidRDefault="00D00979" w:rsidP="00D00979">
      <w:pPr>
        <w:spacing w:after="200" w:line="276" w:lineRule="auto"/>
        <w:jc w:val="both"/>
      </w:pPr>
    </w:p>
    <w:tbl>
      <w:tblPr>
        <w:tblStyle w:val="GridTable2-Accent11"/>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702"/>
        <w:gridCol w:w="992"/>
        <w:gridCol w:w="992"/>
        <w:gridCol w:w="1559"/>
        <w:gridCol w:w="992"/>
        <w:gridCol w:w="1701"/>
      </w:tblGrid>
      <w:tr w:rsidR="00D00979" w:rsidRPr="00B00E14" w14:paraId="1B3DB264" w14:textId="77777777" w:rsidTr="00161D4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02" w:type="dxa"/>
            <w:vMerge w:val="restart"/>
            <w:shd w:val="clear" w:color="auto" w:fill="95B3D7" w:themeFill="accent1" w:themeFillTint="99"/>
          </w:tcPr>
          <w:p w14:paraId="0D569FCF" w14:textId="77777777" w:rsidR="00D00979" w:rsidRPr="00B00E14" w:rsidRDefault="00D00979" w:rsidP="00161D46">
            <w:pPr>
              <w:spacing w:after="80"/>
              <w:jc w:val="both"/>
              <w:rPr>
                <w:rFonts w:eastAsiaTheme="minorEastAsia"/>
                <w:lang w:val="en-US"/>
              </w:rPr>
            </w:pPr>
            <w:r w:rsidRPr="00B00E14">
              <w:rPr>
                <w:rFonts w:eastAsiaTheme="minorEastAsia"/>
                <w:lang w:val="en-US"/>
              </w:rPr>
              <w:t>Field</w:t>
            </w:r>
          </w:p>
          <w:p w14:paraId="4F3D917A" w14:textId="77777777" w:rsidR="00D00979" w:rsidRPr="00B00E14" w:rsidRDefault="00D00979" w:rsidP="00161D46">
            <w:pPr>
              <w:spacing w:after="80"/>
              <w:jc w:val="both"/>
              <w:rPr>
                <w:rFonts w:eastAsiaTheme="minorEastAsia"/>
                <w:lang w:val="en-US"/>
              </w:rPr>
            </w:pPr>
            <w:r w:rsidRPr="00B00E14">
              <w:rPr>
                <w:rFonts w:eastAsiaTheme="minorEastAsia"/>
                <w:lang w:val="en-US"/>
              </w:rPr>
              <w:t>location</w:t>
            </w:r>
          </w:p>
        </w:tc>
        <w:tc>
          <w:tcPr>
            <w:tcW w:w="992" w:type="dxa"/>
            <w:shd w:val="clear" w:color="auto" w:fill="95B3D7" w:themeFill="accent1" w:themeFillTint="99"/>
          </w:tcPr>
          <w:p w14:paraId="0802E7E4" w14:textId="77777777" w:rsidR="00D00979" w:rsidRPr="00B00E14" w:rsidRDefault="00D00979" w:rsidP="00161D46">
            <w:pPr>
              <w:spacing w:after="80"/>
              <w:jc w:val="right"/>
              <w:cnfStyle w:val="100000000000" w:firstRow="1" w:lastRow="0" w:firstColumn="0" w:lastColumn="0" w:oddVBand="0" w:evenVBand="0" w:oddHBand="0" w:evenHBand="0" w:firstRowFirstColumn="0" w:firstRowLastColumn="0" w:lastRowFirstColumn="0" w:lastRowLastColumn="0"/>
              <w:rPr>
                <w:rFonts w:eastAsiaTheme="minorEastAsia"/>
                <w:i/>
                <w:lang w:val="en-US"/>
              </w:rPr>
            </w:pPr>
          </w:p>
        </w:tc>
        <w:tc>
          <w:tcPr>
            <w:tcW w:w="2551" w:type="dxa"/>
            <w:gridSpan w:val="2"/>
            <w:shd w:val="clear" w:color="auto" w:fill="95B3D7" w:themeFill="accent1" w:themeFillTint="99"/>
          </w:tcPr>
          <w:p w14:paraId="7286BEE3" w14:textId="77777777" w:rsidR="00D00979" w:rsidRPr="00B00E14" w:rsidRDefault="00D00979" w:rsidP="00161D46">
            <w:pPr>
              <w:spacing w:after="80"/>
              <w:jc w:val="both"/>
              <w:cnfStyle w:val="100000000000" w:firstRow="1" w:lastRow="0" w:firstColumn="0" w:lastColumn="0" w:oddVBand="0" w:evenVBand="0" w:oddHBand="0" w:evenHBand="0" w:firstRowFirstColumn="0" w:firstRowLastColumn="0" w:lastRowFirstColumn="0" w:lastRowLastColumn="0"/>
              <w:rPr>
                <w:rFonts w:eastAsiaTheme="minorEastAsia"/>
                <w:lang w:val="en-US"/>
              </w:rPr>
            </w:pPr>
            <w:r w:rsidRPr="00B00E14">
              <w:rPr>
                <w:rFonts w:eastAsiaTheme="minorEastAsia"/>
                <w:i/>
                <w:lang w:val="en-US"/>
              </w:rPr>
              <w:t>S</w:t>
            </w:r>
            <w:r w:rsidRPr="00B00E14">
              <w:rPr>
                <w:rFonts w:eastAsiaTheme="minorEastAsia"/>
                <w:vertAlign w:val="subscript"/>
                <w:lang w:val="en-US"/>
              </w:rPr>
              <w:t>1</w:t>
            </w:r>
            <w:r w:rsidRPr="00B00E14">
              <w:rPr>
                <w:rFonts w:eastAsiaTheme="minorEastAsia"/>
                <w:lang w:val="en-US"/>
              </w:rPr>
              <w:t xml:space="preserve"> </w:t>
            </w:r>
            <w:r w:rsidRPr="00B00E14">
              <w:rPr>
                <w:rFonts w:eastAsiaTheme="minorEastAsia"/>
                <w:lang w:val="en-US"/>
              </w:rPr>
              <w:sym w:font="Symbol" w:char="F02D"/>
            </w:r>
            <w:r w:rsidRPr="00B00E14">
              <w:rPr>
                <w:rFonts w:eastAsiaTheme="minorEastAsia"/>
                <w:lang w:val="en-US"/>
              </w:rPr>
              <w:t xml:space="preserve"> </w:t>
            </w:r>
            <w:r w:rsidRPr="00B00E14">
              <w:rPr>
                <w:rFonts w:eastAsiaTheme="minorEastAsia"/>
                <w:i/>
                <w:lang w:val="en-US"/>
              </w:rPr>
              <w:t>S</w:t>
            </w:r>
            <w:r w:rsidRPr="00B00E14">
              <w:rPr>
                <w:rFonts w:eastAsiaTheme="minorEastAsia"/>
                <w:vertAlign w:val="subscript"/>
                <w:lang w:val="en-US"/>
              </w:rPr>
              <w:t>3</w:t>
            </w:r>
            <w:r w:rsidRPr="00B00E14">
              <w:rPr>
                <w:rFonts w:eastAsiaTheme="minorEastAsia"/>
                <w:lang w:val="en-US"/>
              </w:rPr>
              <w:t xml:space="preserve"> test</w:t>
            </w:r>
          </w:p>
        </w:tc>
        <w:tc>
          <w:tcPr>
            <w:tcW w:w="2693" w:type="dxa"/>
            <w:gridSpan w:val="2"/>
            <w:shd w:val="clear" w:color="auto" w:fill="95B3D7" w:themeFill="accent1" w:themeFillTint="99"/>
          </w:tcPr>
          <w:p w14:paraId="3655F8FC" w14:textId="77777777" w:rsidR="00D00979" w:rsidRPr="00B00E14" w:rsidRDefault="00D00979" w:rsidP="00161D46">
            <w:pPr>
              <w:spacing w:after="80"/>
              <w:jc w:val="both"/>
              <w:cnfStyle w:val="100000000000" w:firstRow="1" w:lastRow="0" w:firstColumn="0" w:lastColumn="0" w:oddVBand="0" w:evenVBand="0" w:oddHBand="0" w:evenHBand="0" w:firstRowFirstColumn="0" w:firstRowLastColumn="0" w:lastRowFirstColumn="0" w:lastRowLastColumn="0"/>
              <w:rPr>
                <w:rFonts w:eastAsiaTheme="minorEastAsia"/>
                <w:lang w:val="en-US"/>
              </w:rPr>
            </w:pPr>
            <w:r w:rsidRPr="00B00E14">
              <w:rPr>
                <w:rFonts w:eastAsiaTheme="minorEastAsia"/>
                <w:i/>
                <w:lang w:val="en-US"/>
              </w:rPr>
              <w:t>S</w:t>
            </w:r>
            <w:r w:rsidRPr="00B00E14">
              <w:rPr>
                <w:rFonts w:eastAsiaTheme="minorEastAsia"/>
                <w:vertAlign w:val="subscript"/>
                <w:lang w:val="en-US"/>
              </w:rPr>
              <w:t>11</w:t>
            </w:r>
            <w:r w:rsidRPr="00B00E14">
              <w:rPr>
                <w:rFonts w:eastAsiaTheme="minorEastAsia"/>
                <w:lang w:val="en-US"/>
              </w:rPr>
              <w:t xml:space="preserve"> </w:t>
            </w:r>
            <w:r w:rsidRPr="00B00E14">
              <w:rPr>
                <w:rFonts w:eastAsiaTheme="minorEastAsia"/>
                <w:lang w:val="en-US"/>
              </w:rPr>
              <w:sym w:font="Symbol" w:char="F02D"/>
            </w:r>
            <w:r w:rsidRPr="00B00E14">
              <w:rPr>
                <w:rFonts w:eastAsiaTheme="minorEastAsia"/>
                <w:lang w:val="en-US"/>
              </w:rPr>
              <w:t xml:space="preserve"> </w:t>
            </w:r>
            <w:r w:rsidRPr="00B00E14">
              <w:rPr>
                <w:rFonts w:eastAsiaTheme="minorEastAsia"/>
                <w:i/>
                <w:lang w:val="en-US"/>
              </w:rPr>
              <w:t>S</w:t>
            </w:r>
            <w:r w:rsidRPr="00B00E14">
              <w:rPr>
                <w:rFonts w:eastAsiaTheme="minorEastAsia"/>
                <w:vertAlign w:val="subscript"/>
                <w:lang w:val="en-US"/>
              </w:rPr>
              <w:t>33</w:t>
            </w:r>
            <w:r w:rsidRPr="00B00E14">
              <w:rPr>
                <w:rFonts w:eastAsiaTheme="minorEastAsia"/>
                <w:lang w:val="en-US"/>
              </w:rPr>
              <w:t xml:space="preserve"> test</w:t>
            </w:r>
          </w:p>
        </w:tc>
      </w:tr>
      <w:tr w:rsidR="00D00979" w:rsidRPr="00B00E14" w14:paraId="7306969A" w14:textId="77777777" w:rsidTr="00161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vMerge/>
            <w:shd w:val="clear" w:color="auto" w:fill="95B3D7" w:themeFill="accent1" w:themeFillTint="99"/>
          </w:tcPr>
          <w:p w14:paraId="28F16DD0" w14:textId="77777777" w:rsidR="00D00979" w:rsidRPr="00B00E14" w:rsidRDefault="00D00979" w:rsidP="00161D46">
            <w:pPr>
              <w:spacing w:after="80"/>
              <w:jc w:val="both"/>
              <w:rPr>
                <w:rFonts w:eastAsiaTheme="minorEastAsia"/>
                <w:lang w:val="en-US"/>
              </w:rPr>
            </w:pPr>
          </w:p>
        </w:tc>
        <w:tc>
          <w:tcPr>
            <w:tcW w:w="992" w:type="dxa"/>
            <w:shd w:val="clear" w:color="auto" w:fill="95B3D7" w:themeFill="accent1" w:themeFillTint="99"/>
          </w:tcPr>
          <w:p w14:paraId="510E82FA" w14:textId="77777777" w:rsidR="00D00979" w:rsidRPr="00B00E14" w:rsidRDefault="00D00979" w:rsidP="00161D46">
            <w:pPr>
              <w:spacing w:after="80"/>
              <w:jc w:val="right"/>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B00E14">
              <w:rPr>
                <w:rFonts w:eastAsiaTheme="minorEastAsia"/>
                <w:i/>
                <w:lang w:val="en-US"/>
              </w:rPr>
              <w:t>n</w:t>
            </w:r>
          </w:p>
        </w:tc>
        <w:tc>
          <w:tcPr>
            <w:tcW w:w="992" w:type="dxa"/>
            <w:shd w:val="clear" w:color="auto" w:fill="95B3D7" w:themeFill="accent1" w:themeFillTint="99"/>
          </w:tcPr>
          <w:p w14:paraId="34C3966D" w14:textId="77777777" w:rsidR="00D00979" w:rsidRPr="00B00E14"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B00E14">
              <w:rPr>
                <w:rFonts w:eastAsiaTheme="minorEastAsia"/>
                <w:i/>
                <w:lang w:val="en-US"/>
              </w:rPr>
              <w:t>p</w:t>
            </w:r>
            <w:r w:rsidRPr="00B00E14">
              <w:rPr>
                <w:rFonts w:eastAsiaTheme="minorEastAsia"/>
                <w:lang w:val="en-US"/>
              </w:rPr>
              <w:t>-value</w:t>
            </w:r>
          </w:p>
        </w:tc>
        <w:tc>
          <w:tcPr>
            <w:tcW w:w="1559" w:type="dxa"/>
            <w:shd w:val="clear" w:color="auto" w:fill="95B3D7" w:themeFill="accent1" w:themeFillTint="99"/>
          </w:tcPr>
          <w:p w14:paraId="4E6E92C3" w14:textId="77777777" w:rsidR="00D00979" w:rsidRPr="00B00E14"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B00E14">
              <w:rPr>
                <w:rFonts w:eastAsiaTheme="minorEastAsia"/>
                <w:lang w:val="en-US"/>
              </w:rPr>
              <w:t># of modes</w:t>
            </w:r>
          </w:p>
        </w:tc>
        <w:tc>
          <w:tcPr>
            <w:tcW w:w="992" w:type="dxa"/>
            <w:shd w:val="clear" w:color="auto" w:fill="95B3D7" w:themeFill="accent1" w:themeFillTint="99"/>
          </w:tcPr>
          <w:p w14:paraId="03012167" w14:textId="77777777" w:rsidR="00D00979" w:rsidRPr="00B00E14"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B00E14">
              <w:rPr>
                <w:rFonts w:eastAsiaTheme="minorEastAsia"/>
                <w:i/>
                <w:lang w:val="en-US"/>
              </w:rPr>
              <w:t>p</w:t>
            </w:r>
            <w:r w:rsidRPr="00B00E14">
              <w:rPr>
                <w:rFonts w:eastAsiaTheme="minorEastAsia"/>
                <w:lang w:val="en-US"/>
              </w:rPr>
              <w:t>-value</w:t>
            </w:r>
          </w:p>
        </w:tc>
        <w:tc>
          <w:tcPr>
            <w:tcW w:w="1701" w:type="dxa"/>
            <w:shd w:val="clear" w:color="auto" w:fill="95B3D7" w:themeFill="accent1" w:themeFillTint="99"/>
          </w:tcPr>
          <w:p w14:paraId="5D6B28BC" w14:textId="77777777" w:rsidR="00D00979" w:rsidRPr="00B00E14"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B00E14">
              <w:rPr>
                <w:rFonts w:eastAsiaTheme="minorEastAsia"/>
                <w:lang w:val="en-US"/>
              </w:rPr>
              <w:t># of modes</w:t>
            </w:r>
          </w:p>
        </w:tc>
      </w:tr>
      <w:tr w:rsidR="00D00979" w:rsidRPr="00B00E14" w14:paraId="4870ECD2" w14:textId="77777777" w:rsidTr="00161D46">
        <w:tc>
          <w:tcPr>
            <w:cnfStyle w:val="001000000000" w:firstRow="0" w:lastRow="0" w:firstColumn="1" w:lastColumn="0" w:oddVBand="0" w:evenVBand="0" w:oddHBand="0" w:evenHBand="0" w:firstRowFirstColumn="0" w:firstRowLastColumn="0" w:lastRowFirstColumn="0" w:lastRowLastColumn="0"/>
            <w:tcW w:w="1702" w:type="dxa"/>
          </w:tcPr>
          <w:p w14:paraId="5ECC8EC6" w14:textId="77777777" w:rsidR="00D00979" w:rsidRPr="00B00E14" w:rsidRDefault="00D00979" w:rsidP="00161D46">
            <w:pPr>
              <w:spacing w:after="80"/>
              <w:jc w:val="both"/>
              <w:rPr>
                <w:rFonts w:eastAsiaTheme="minorEastAsia"/>
                <w:lang w:val="en-US"/>
              </w:rPr>
            </w:pPr>
            <w:r w:rsidRPr="00B00E14">
              <w:rPr>
                <w:rFonts w:eastAsiaTheme="minorEastAsia"/>
                <w:lang w:val="en-US"/>
              </w:rPr>
              <w:t>Gruinard</w:t>
            </w:r>
          </w:p>
        </w:tc>
        <w:tc>
          <w:tcPr>
            <w:tcW w:w="992" w:type="dxa"/>
          </w:tcPr>
          <w:p w14:paraId="688E3372" w14:textId="77777777" w:rsidR="00D00979" w:rsidRPr="00B00E14" w:rsidRDefault="00D00979" w:rsidP="00161D46">
            <w:pPr>
              <w:spacing w:after="80"/>
              <w:jc w:val="right"/>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B00E14">
              <w:rPr>
                <w:rFonts w:eastAsiaTheme="minorEastAsia"/>
                <w:lang w:val="en-US"/>
              </w:rPr>
              <w:t>75</w:t>
            </w:r>
          </w:p>
        </w:tc>
        <w:tc>
          <w:tcPr>
            <w:tcW w:w="992" w:type="dxa"/>
          </w:tcPr>
          <w:p w14:paraId="32587D5F" w14:textId="77777777" w:rsidR="00D00979" w:rsidRPr="00B00E14"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B00E14">
              <w:rPr>
                <w:rFonts w:eastAsiaTheme="minorEastAsia"/>
                <w:lang w:val="en-US"/>
              </w:rPr>
              <w:t>0.00</w:t>
            </w:r>
          </w:p>
        </w:tc>
        <w:tc>
          <w:tcPr>
            <w:tcW w:w="1559" w:type="dxa"/>
          </w:tcPr>
          <w:p w14:paraId="07CE8101" w14:textId="77777777" w:rsidR="00D00979" w:rsidRPr="00B00E14"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B00E14">
              <w:rPr>
                <w:rFonts w:eastAsiaTheme="minorEastAsia"/>
                <w:lang w:val="en-US"/>
              </w:rPr>
              <w:t>&gt; 2</w:t>
            </w:r>
          </w:p>
        </w:tc>
        <w:tc>
          <w:tcPr>
            <w:tcW w:w="992" w:type="dxa"/>
          </w:tcPr>
          <w:p w14:paraId="1837AE86" w14:textId="77777777" w:rsidR="00D00979" w:rsidRPr="00B00E14"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B00E14">
              <w:rPr>
                <w:rFonts w:eastAsiaTheme="minorEastAsia"/>
                <w:lang w:val="en-US"/>
              </w:rPr>
              <w:t>0.00</w:t>
            </w:r>
          </w:p>
        </w:tc>
        <w:tc>
          <w:tcPr>
            <w:tcW w:w="1701" w:type="dxa"/>
          </w:tcPr>
          <w:p w14:paraId="2B2F1622" w14:textId="77777777" w:rsidR="00D00979" w:rsidRPr="00B00E14"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B00E14">
              <w:rPr>
                <w:rFonts w:eastAsiaTheme="minorEastAsia"/>
                <w:lang w:val="en-US"/>
              </w:rPr>
              <w:t>&gt; 2</w:t>
            </w:r>
          </w:p>
        </w:tc>
      </w:tr>
      <w:tr w:rsidR="00D00979" w:rsidRPr="00B00E14" w14:paraId="65119AE2" w14:textId="77777777" w:rsidTr="00161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2F39FF4B" w14:textId="77777777" w:rsidR="00D00979" w:rsidRPr="00B00E14" w:rsidRDefault="00D00979" w:rsidP="00161D46">
            <w:pPr>
              <w:spacing w:after="80"/>
              <w:jc w:val="both"/>
              <w:rPr>
                <w:rFonts w:eastAsiaTheme="minorEastAsia"/>
                <w:lang w:val="en-US"/>
              </w:rPr>
            </w:pPr>
            <w:r w:rsidRPr="00B00E14">
              <w:rPr>
                <w:rFonts w:eastAsiaTheme="minorEastAsia"/>
                <w:lang w:val="en-US"/>
              </w:rPr>
              <w:t>Chimney Rock</w:t>
            </w:r>
          </w:p>
        </w:tc>
        <w:tc>
          <w:tcPr>
            <w:tcW w:w="992" w:type="dxa"/>
          </w:tcPr>
          <w:p w14:paraId="5F03B344" w14:textId="77777777" w:rsidR="00D00979" w:rsidRPr="00B00E14" w:rsidRDefault="00D00979" w:rsidP="00161D46">
            <w:pPr>
              <w:spacing w:after="80"/>
              <w:jc w:val="right"/>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B00E14">
              <w:rPr>
                <w:rFonts w:eastAsiaTheme="minorEastAsia"/>
                <w:lang w:val="en-US"/>
              </w:rPr>
              <w:t>86</w:t>
            </w:r>
          </w:p>
        </w:tc>
        <w:tc>
          <w:tcPr>
            <w:tcW w:w="992" w:type="dxa"/>
          </w:tcPr>
          <w:p w14:paraId="2C011B6F" w14:textId="77777777" w:rsidR="00D00979" w:rsidRPr="00B00E14"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B00E14">
              <w:rPr>
                <w:rFonts w:eastAsiaTheme="minorEastAsia"/>
                <w:lang w:val="en-US"/>
              </w:rPr>
              <w:t>0.99</w:t>
            </w:r>
          </w:p>
        </w:tc>
        <w:tc>
          <w:tcPr>
            <w:tcW w:w="1559" w:type="dxa"/>
          </w:tcPr>
          <w:p w14:paraId="41864219" w14:textId="77777777" w:rsidR="00D00979" w:rsidRPr="00B00E14"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B00E14">
              <w:rPr>
                <w:rFonts w:eastAsiaTheme="minorEastAsia"/>
                <w:lang w:val="en-US"/>
              </w:rPr>
              <w:t>2</w:t>
            </w:r>
          </w:p>
        </w:tc>
        <w:tc>
          <w:tcPr>
            <w:tcW w:w="992" w:type="dxa"/>
          </w:tcPr>
          <w:p w14:paraId="56A28B94" w14:textId="77777777" w:rsidR="00D00979" w:rsidRPr="00B00E14"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B00E14">
              <w:rPr>
                <w:rFonts w:eastAsiaTheme="minorEastAsia"/>
                <w:lang w:val="en-US"/>
              </w:rPr>
              <w:t>1.00</w:t>
            </w:r>
          </w:p>
        </w:tc>
        <w:tc>
          <w:tcPr>
            <w:tcW w:w="1701" w:type="dxa"/>
          </w:tcPr>
          <w:p w14:paraId="34D18615" w14:textId="77777777" w:rsidR="00D00979" w:rsidRPr="00B00E14"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B00E14">
              <w:rPr>
                <w:rFonts w:eastAsiaTheme="minorEastAsia"/>
                <w:lang w:val="en-US"/>
              </w:rPr>
              <w:t>2</w:t>
            </w:r>
          </w:p>
        </w:tc>
      </w:tr>
      <w:tr w:rsidR="00D00979" w:rsidRPr="00B00E14" w14:paraId="5C5FA28F" w14:textId="77777777" w:rsidTr="00161D46">
        <w:tc>
          <w:tcPr>
            <w:cnfStyle w:val="001000000000" w:firstRow="0" w:lastRow="0" w:firstColumn="1" w:lastColumn="0" w:oddVBand="0" w:evenVBand="0" w:oddHBand="0" w:evenHBand="0" w:firstRowFirstColumn="0" w:firstRowLastColumn="0" w:lastRowFirstColumn="0" w:lastRowLastColumn="0"/>
            <w:tcW w:w="1702" w:type="dxa"/>
          </w:tcPr>
          <w:p w14:paraId="6F6FC656" w14:textId="77777777" w:rsidR="00D00979" w:rsidRPr="00B00E14" w:rsidRDefault="00D00979" w:rsidP="00161D46">
            <w:pPr>
              <w:spacing w:after="80"/>
              <w:jc w:val="both"/>
              <w:rPr>
                <w:rFonts w:eastAsiaTheme="minorEastAsia"/>
                <w:lang w:val="en-US"/>
              </w:rPr>
            </w:pPr>
            <w:proofErr w:type="spellStart"/>
            <w:r w:rsidRPr="00B00E14">
              <w:rPr>
                <w:rFonts w:eastAsiaTheme="minorEastAsia"/>
                <w:lang w:val="en-US"/>
              </w:rPr>
              <w:t>Flamborough</w:t>
            </w:r>
            <w:proofErr w:type="spellEnd"/>
          </w:p>
        </w:tc>
        <w:tc>
          <w:tcPr>
            <w:tcW w:w="992" w:type="dxa"/>
          </w:tcPr>
          <w:p w14:paraId="2E18C336" w14:textId="77777777" w:rsidR="00D00979" w:rsidRPr="00B00E14" w:rsidRDefault="00D00979" w:rsidP="00161D46">
            <w:pPr>
              <w:spacing w:after="80"/>
              <w:jc w:val="right"/>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B00E14">
              <w:rPr>
                <w:rFonts w:eastAsiaTheme="minorEastAsia"/>
                <w:lang w:val="en-US"/>
              </w:rPr>
              <w:t>346</w:t>
            </w:r>
          </w:p>
        </w:tc>
        <w:tc>
          <w:tcPr>
            <w:tcW w:w="992" w:type="dxa"/>
          </w:tcPr>
          <w:p w14:paraId="0705ACBD" w14:textId="77777777" w:rsidR="00D00979" w:rsidRPr="00B00E14"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B00E14">
              <w:rPr>
                <w:rFonts w:eastAsiaTheme="minorEastAsia"/>
                <w:lang w:val="en-US"/>
              </w:rPr>
              <w:t>0.00</w:t>
            </w:r>
          </w:p>
        </w:tc>
        <w:tc>
          <w:tcPr>
            <w:tcW w:w="1559" w:type="dxa"/>
          </w:tcPr>
          <w:p w14:paraId="7FC07206" w14:textId="77777777" w:rsidR="00D00979" w:rsidRPr="00B00E14"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B00E14">
              <w:rPr>
                <w:rFonts w:eastAsiaTheme="minorEastAsia"/>
                <w:lang w:val="en-US"/>
              </w:rPr>
              <w:t>&gt; 2</w:t>
            </w:r>
          </w:p>
        </w:tc>
        <w:tc>
          <w:tcPr>
            <w:tcW w:w="992" w:type="dxa"/>
          </w:tcPr>
          <w:p w14:paraId="14E34632" w14:textId="77777777" w:rsidR="00D00979" w:rsidRPr="00B00E14"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B00E14">
              <w:rPr>
                <w:rFonts w:eastAsiaTheme="minorEastAsia"/>
                <w:lang w:val="en-US"/>
              </w:rPr>
              <w:t>0.00</w:t>
            </w:r>
          </w:p>
        </w:tc>
        <w:tc>
          <w:tcPr>
            <w:tcW w:w="1701" w:type="dxa"/>
          </w:tcPr>
          <w:p w14:paraId="6E08A2EF" w14:textId="77777777" w:rsidR="00D00979" w:rsidRPr="00B00E14"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B00E14">
              <w:rPr>
                <w:rFonts w:eastAsiaTheme="minorEastAsia"/>
                <w:lang w:val="en-US"/>
              </w:rPr>
              <w:t>&gt; 2</w:t>
            </w:r>
          </w:p>
        </w:tc>
      </w:tr>
      <w:tr w:rsidR="00D00979" w:rsidRPr="00B00E14" w14:paraId="6A4E89FA" w14:textId="77777777" w:rsidTr="00161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5BEC2BFA" w14:textId="77777777" w:rsidR="00D00979" w:rsidRPr="00B00E14" w:rsidRDefault="00D00979" w:rsidP="00161D46">
            <w:pPr>
              <w:spacing w:after="80"/>
              <w:jc w:val="both"/>
              <w:rPr>
                <w:rFonts w:eastAsiaTheme="minorEastAsia"/>
                <w:lang w:val="en-US"/>
              </w:rPr>
            </w:pPr>
            <w:r w:rsidRPr="00B00E14">
              <w:rPr>
                <w:rFonts w:eastAsiaTheme="minorEastAsia"/>
                <w:lang w:val="en-US"/>
              </w:rPr>
              <w:t>Central Italy</w:t>
            </w:r>
          </w:p>
        </w:tc>
        <w:tc>
          <w:tcPr>
            <w:tcW w:w="992" w:type="dxa"/>
          </w:tcPr>
          <w:p w14:paraId="0E600278" w14:textId="77777777" w:rsidR="00D00979" w:rsidRPr="00B00E14" w:rsidRDefault="00D00979" w:rsidP="00161D46">
            <w:pPr>
              <w:spacing w:after="80"/>
              <w:jc w:val="right"/>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B00E14">
              <w:rPr>
                <w:rFonts w:eastAsiaTheme="minorEastAsia"/>
                <w:lang w:val="en-US"/>
              </w:rPr>
              <w:t>1182</w:t>
            </w:r>
          </w:p>
        </w:tc>
        <w:tc>
          <w:tcPr>
            <w:tcW w:w="992" w:type="dxa"/>
          </w:tcPr>
          <w:p w14:paraId="144B779C" w14:textId="77777777" w:rsidR="00D00979" w:rsidRPr="00B00E14"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B00E14">
              <w:rPr>
                <w:rFonts w:eastAsiaTheme="minorEastAsia"/>
                <w:lang w:val="en-US"/>
              </w:rPr>
              <w:t>0.00</w:t>
            </w:r>
          </w:p>
        </w:tc>
        <w:tc>
          <w:tcPr>
            <w:tcW w:w="1559" w:type="dxa"/>
          </w:tcPr>
          <w:p w14:paraId="2E385020" w14:textId="77777777" w:rsidR="00D00979" w:rsidRPr="00B00E14"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B00E14">
              <w:rPr>
                <w:rFonts w:eastAsiaTheme="minorEastAsia"/>
                <w:lang w:val="en-US"/>
              </w:rPr>
              <w:t>&gt; 2</w:t>
            </w:r>
          </w:p>
        </w:tc>
        <w:tc>
          <w:tcPr>
            <w:tcW w:w="992" w:type="dxa"/>
          </w:tcPr>
          <w:p w14:paraId="416694CC" w14:textId="77777777" w:rsidR="00D00979" w:rsidRPr="00B00E14"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B00E14">
              <w:rPr>
                <w:rFonts w:eastAsiaTheme="minorEastAsia"/>
                <w:lang w:val="en-US"/>
              </w:rPr>
              <w:t>0.00</w:t>
            </w:r>
          </w:p>
        </w:tc>
        <w:tc>
          <w:tcPr>
            <w:tcW w:w="1701" w:type="dxa"/>
          </w:tcPr>
          <w:p w14:paraId="1767204B" w14:textId="77777777" w:rsidR="00D00979" w:rsidRPr="00B00E14"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B00E14">
              <w:rPr>
                <w:rFonts w:eastAsiaTheme="minorEastAsia"/>
                <w:lang w:val="en-US"/>
              </w:rPr>
              <w:t>&gt; 2</w:t>
            </w:r>
          </w:p>
        </w:tc>
      </w:tr>
      <w:tr w:rsidR="00D00979" w:rsidRPr="00B00E14" w14:paraId="6B085880" w14:textId="77777777" w:rsidTr="00161D46">
        <w:tc>
          <w:tcPr>
            <w:cnfStyle w:val="001000000000" w:firstRow="0" w:lastRow="0" w:firstColumn="1" w:lastColumn="0" w:oddVBand="0" w:evenVBand="0" w:oddHBand="0" w:evenHBand="0" w:firstRowFirstColumn="0" w:firstRowLastColumn="0" w:lastRowFirstColumn="0" w:lastRowLastColumn="0"/>
            <w:tcW w:w="1702" w:type="dxa"/>
          </w:tcPr>
          <w:p w14:paraId="62102684" w14:textId="77777777" w:rsidR="00D00979" w:rsidRPr="00B00E14" w:rsidRDefault="00D00979" w:rsidP="00161D46">
            <w:pPr>
              <w:spacing w:after="80"/>
              <w:jc w:val="both"/>
              <w:rPr>
                <w:rFonts w:eastAsiaTheme="minorEastAsia"/>
                <w:lang w:val="en-US"/>
              </w:rPr>
            </w:pPr>
            <w:r w:rsidRPr="00B00E14">
              <w:rPr>
                <w:rFonts w:eastAsiaTheme="minorEastAsia"/>
                <w:lang w:val="en-US"/>
              </w:rPr>
              <w:t>Aegean</w:t>
            </w:r>
          </w:p>
        </w:tc>
        <w:tc>
          <w:tcPr>
            <w:tcW w:w="992" w:type="dxa"/>
          </w:tcPr>
          <w:p w14:paraId="20A288F8" w14:textId="77777777" w:rsidR="00D00979" w:rsidRPr="00B00E14" w:rsidRDefault="00D00979" w:rsidP="00161D46">
            <w:pPr>
              <w:spacing w:after="80"/>
              <w:jc w:val="right"/>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B00E14">
              <w:rPr>
                <w:rFonts w:eastAsiaTheme="minorEastAsia"/>
                <w:lang w:val="en-US"/>
              </w:rPr>
              <w:t>156</w:t>
            </w:r>
          </w:p>
        </w:tc>
        <w:tc>
          <w:tcPr>
            <w:tcW w:w="992" w:type="dxa"/>
          </w:tcPr>
          <w:p w14:paraId="166D64F8" w14:textId="77777777" w:rsidR="00D00979" w:rsidRPr="00B00E14"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B00E14">
              <w:rPr>
                <w:rFonts w:eastAsiaTheme="minorEastAsia"/>
                <w:lang w:val="en-US"/>
              </w:rPr>
              <w:t>0.00</w:t>
            </w:r>
          </w:p>
        </w:tc>
        <w:tc>
          <w:tcPr>
            <w:tcW w:w="1559" w:type="dxa"/>
          </w:tcPr>
          <w:p w14:paraId="7DC72D85" w14:textId="77777777" w:rsidR="00D00979" w:rsidRPr="00B00E14"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B00E14">
              <w:rPr>
                <w:rFonts w:eastAsiaTheme="minorEastAsia"/>
                <w:lang w:val="en-US"/>
              </w:rPr>
              <w:t>&gt; 2</w:t>
            </w:r>
          </w:p>
        </w:tc>
        <w:tc>
          <w:tcPr>
            <w:tcW w:w="992" w:type="dxa"/>
          </w:tcPr>
          <w:p w14:paraId="5D2A46B1" w14:textId="77777777" w:rsidR="00D00979" w:rsidRPr="00B00E14"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B00E14">
              <w:rPr>
                <w:rFonts w:eastAsiaTheme="minorEastAsia"/>
                <w:lang w:val="en-US"/>
              </w:rPr>
              <w:t>0.00</w:t>
            </w:r>
          </w:p>
        </w:tc>
        <w:tc>
          <w:tcPr>
            <w:tcW w:w="1701" w:type="dxa"/>
          </w:tcPr>
          <w:p w14:paraId="39E6EC69" w14:textId="77777777" w:rsidR="00D00979" w:rsidRPr="00B00E14" w:rsidRDefault="00D00979" w:rsidP="00161D46">
            <w:pPr>
              <w:spacing w:after="80"/>
              <w:jc w:val="both"/>
              <w:cnfStyle w:val="000000000000" w:firstRow="0" w:lastRow="0" w:firstColumn="0" w:lastColumn="0" w:oddVBand="0" w:evenVBand="0" w:oddHBand="0" w:evenHBand="0" w:firstRowFirstColumn="0" w:firstRowLastColumn="0" w:lastRowFirstColumn="0" w:lastRowLastColumn="0"/>
              <w:rPr>
                <w:rFonts w:eastAsiaTheme="minorEastAsia"/>
                <w:lang w:val="en-US"/>
              </w:rPr>
            </w:pPr>
            <w:r w:rsidRPr="00B00E14">
              <w:rPr>
                <w:rFonts w:eastAsiaTheme="minorEastAsia"/>
                <w:lang w:val="en-US"/>
              </w:rPr>
              <w:t>&gt; 2</w:t>
            </w:r>
          </w:p>
        </w:tc>
      </w:tr>
      <w:tr w:rsidR="00D00979" w:rsidRPr="00B00E14" w14:paraId="45EC1C2F" w14:textId="77777777" w:rsidTr="00161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3A3816F8" w14:textId="77777777" w:rsidR="00D00979" w:rsidRPr="00B00E14" w:rsidRDefault="00D00979" w:rsidP="00161D46">
            <w:pPr>
              <w:spacing w:after="80"/>
              <w:jc w:val="both"/>
              <w:rPr>
                <w:rFonts w:eastAsiaTheme="minorEastAsia"/>
                <w:lang w:val="en-US"/>
              </w:rPr>
            </w:pPr>
            <w:r w:rsidRPr="00B00E14">
              <w:rPr>
                <w:rFonts w:eastAsiaTheme="minorEastAsia"/>
                <w:lang w:val="en-US"/>
              </w:rPr>
              <w:t>Tibet</w:t>
            </w:r>
          </w:p>
        </w:tc>
        <w:tc>
          <w:tcPr>
            <w:tcW w:w="992" w:type="dxa"/>
          </w:tcPr>
          <w:p w14:paraId="14D5F44C" w14:textId="77777777" w:rsidR="00D00979" w:rsidRPr="00B00E14" w:rsidRDefault="00D00979" w:rsidP="00161D46">
            <w:pPr>
              <w:spacing w:after="80"/>
              <w:jc w:val="right"/>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B00E14">
              <w:rPr>
                <w:rFonts w:eastAsiaTheme="minorEastAsia"/>
                <w:lang w:val="en-US"/>
              </w:rPr>
              <w:t>168</w:t>
            </w:r>
          </w:p>
        </w:tc>
        <w:tc>
          <w:tcPr>
            <w:tcW w:w="992" w:type="dxa"/>
          </w:tcPr>
          <w:p w14:paraId="6F09D708" w14:textId="77777777" w:rsidR="00D00979" w:rsidRPr="00B00E14"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B00E14">
              <w:rPr>
                <w:rFonts w:eastAsiaTheme="minorEastAsia"/>
                <w:lang w:val="en-US"/>
              </w:rPr>
              <w:t>0.00</w:t>
            </w:r>
          </w:p>
        </w:tc>
        <w:tc>
          <w:tcPr>
            <w:tcW w:w="1559" w:type="dxa"/>
          </w:tcPr>
          <w:p w14:paraId="678B3C6C" w14:textId="77777777" w:rsidR="00D00979" w:rsidRPr="00B00E14"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B00E14">
              <w:rPr>
                <w:rFonts w:eastAsiaTheme="minorEastAsia"/>
                <w:lang w:val="en-US"/>
              </w:rPr>
              <w:t>&gt; 2</w:t>
            </w:r>
          </w:p>
        </w:tc>
        <w:tc>
          <w:tcPr>
            <w:tcW w:w="992" w:type="dxa"/>
          </w:tcPr>
          <w:p w14:paraId="6399F870" w14:textId="77777777" w:rsidR="00D00979" w:rsidRPr="00B00E14"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B00E14">
              <w:rPr>
                <w:rFonts w:eastAsiaTheme="minorEastAsia"/>
                <w:lang w:val="en-US"/>
              </w:rPr>
              <w:t>0.00</w:t>
            </w:r>
          </w:p>
        </w:tc>
        <w:tc>
          <w:tcPr>
            <w:tcW w:w="1701" w:type="dxa"/>
          </w:tcPr>
          <w:p w14:paraId="24DCCE89" w14:textId="77777777" w:rsidR="00D00979" w:rsidRPr="00B00E14" w:rsidRDefault="00D00979" w:rsidP="00161D46">
            <w:pPr>
              <w:spacing w:after="80"/>
              <w:jc w:val="both"/>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00B00E14">
              <w:rPr>
                <w:rFonts w:eastAsiaTheme="minorEastAsia"/>
                <w:lang w:val="en-US"/>
              </w:rPr>
              <w:t>&gt; 2</w:t>
            </w:r>
          </w:p>
        </w:tc>
      </w:tr>
    </w:tbl>
    <w:p w14:paraId="0E021CAE" w14:textId="77777777" w:rsidR="00D00979" w:rsidRPr="00B00E14" w:rsidRDefault="00D00979" w:rsidP="00D00979">
      <w:pPr>
        <w:spacing w:after="200" w:line="276" w:lineRule="auto"/>
        <w:jc w:val="both"/>
        <w:rPr>
          <w:i/>
          <w:lang w:val="en-US"/>
        </w:rPr>
      </w:pPr>
    </w:p>
    <w:p w14:paraId="0212FE61" w14:textId="77777777" w:rsidR="00D00979" w:rsidRPr="00B00E14" w:rsidRDefault="00D00979" w:rsidP="00D00979">
      <w:pPr>
        <w:spacing w:after="200" w:line="276" w:lineRule="auto"/>
        <w:jc w:val="both"/>
        <w:rPr>
          <w:lang w:val="en-US"/>
        </w:rPr>
      </w:pPr>
      <w:r w:rsidRPr="00B00E14">
        <w:rPr>
          <w:b/>
          <w:lang w:val="en-US"/>
        </w:rPr>
        <w:t>Table 3.</w:t>
      </w:r>
      <w:r w:rsidRPr="00B00E14">
        <w:rPr>
          <w:lang w:val="en-US"/>
        </w:rPr>
        <w:t xml:space="preserve"> </w:t>
      </w:r>
      <w:proofErr w:type="gramStart"/>
      <w:r w:rsidRPr="006B3A3C">
        <w:rPr>
          <w:i/>
          <w:lang w:val="en-US"/>
        </w:rPr>
        <w:t>p</w:t>
      </w:r>
      <w:r w:rsidRPr="00B00E14">
        <w:rPr>
          <w:lang w:val="en-US"/>
        </w:rPr>
        <w:t>-valu</w:t>
      </w:r>
      <w:r>
        <w:rPr>
          <w:lang w:val="en-US"/>
        </w:rPr>
        <w:t>es</w:t>
      </w:r>
      <w:proofErr w:type="gramEnd"/>
      <w:r>
        <w:rPr>
          <w:lang w:val="en-US"/>
        </w:rPr>
        <w:t xml:space="preserve"> and corresponding decisions at 5% significance level</w:t>
      </w:r>
      <w:r w:rsidRPr="00B00E14">
        <w:rPr>
          <w:lang w:val="en-US"/>
        </w:rPr>
        <w:t xml:space="preserve"> of </w:t>
      </w:r>
      <w:proofErr w:type="spellStart"/>
      <w:r w:rsidRPr="00B00E14">
        <w:rPr>
          <w:lang w:val="en-US"/>
        </w:rPr>
        <w:t>randomisation</w:t>
      </w:r>
      <w:proofErr w:type="spellEnd"/>
      <w:r w:rsidRPr="00B00E14">
        <w:rPr>
          <w:lang w:val="en-US"/>
        </w:rPr>
        <w:t xml:space="preserve"> tests of bimo</w:t>
      </w:r>
      <w:r>
        <w:rPr>
          <w:lang w:val="en-US"/>
        </w:rPr>
        <w:t xml:space="preserve">dality for natural data sets. </w:t>
      </w:r>
      <w:r w:rsidRPr="001657D7">
        <w:rPr>
          <w:i/>
          <w:lang w:val="en-US"/>
        </w:rPr>
        <w:t>n</w:t>
      </w:r>
      <w:r>
        <w:rPr>
          <w:lang w:val="en-US"/>
        </w:rPr>
        <w:t xml:space="preserve">=total sample size. </w:t>
      </w:r>
      <w:r w:rsidRPr="00AB39D5">
        <w:rPr>
          <w:i/>
          <w:lang w:val="en-US"/>
        </w:rPr>
        <w:t>B</w:t>
      </w:r>
      <w:r>
        <w:rPr>
          <w:lang w:val="en-US"/>
        </w:rPr>
        <w:t>=</w:t>
      </w:r>
      <w:r w:rsidRPr="00B00E14">
        <w:rPr>
          <w:lang w:val="en-US"/>
        </w:rPr>
        <w:t xml:space="preserve">999 further </w:t>
      </w:r>
      <w:proofErr w:type="spellStart"/>
      <w:r w:rsidRPr="00B00E14">
        <w:rPr>
          <w:lang w:val="en-US"/>
        </w:rPr>
        <w:t>randomisation</w:t>
      </w:r>
      <w:proofErr w:type="spellEnd"/>
      <w:r w:rsidRPr="00B00E14">
        <w:rPr>
          <w:lang w:val="en-US"/>
        </w:rPr>
        <w:t xml:space="preserve"> samples per data set</w:t>
      </w:r>
      <w:r>
        <w:rPr>
          <w:lang w:val="en-US"/>
        </w:rPr>
        <w:t xml:space="preserve"> (see text for details)</w:t>
      </w:r>
      <w:r w:rsidRPr="00B00E14">
        <w:rPr>
          <w:lang w:val="en-US"/>
        </w:rPr>
        <w:t>.</w:t>
      </w:r>
    </w:p>
    <w:p w14:paraId="420B9524" w14:textId="18B180B9" w:rsidR="00D00979" w:rsidRPr="00082C98" w:rsidRDefault="00D00979" w:rsidP="0040478C">
      <w:pPr>
        <w:spacing w:after="200" w:line="276" w:lineRule="auto"/>
        <w:jc w:val="both"/>
      </w:pPr>
    </w:p>
    <w:sectPr w:rsidR="00D00979" w:rsidRPr="00082C98" w:rsidSect="00D00979">
      <w:footerReference w:type="default" r:id="rId11"/>
      <w:pgSz w:w="11900" w:h="16840"/>
      <w:pgMar w:top="1134" w:right="1134" w:bottom="1134" w:left="1134"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7AB78" w14:textId="77777777" w:rsidR="009920E2" w:rsidRDefault="009920E2" w:rsidP="00E67917">
      <w:r>
        <w:separator/>
      </w:r>
    </w:p>
  </w:endnote>
  <w:endnote w:type="continuationSeparator" w:id="0">
    <w:p w14:paraId="21675833" w14:textId="77777777" w:rsidR="009920E2" w:rsidRDefault="009920E2" w:rsidP="00E6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948F0" w14:textId="433E7959" w:rsidR="00981B7E" w:rsidRPr="00E67917" w:rsidRDefault="00981B7E" w:rsidP="00E67917">
    <w:pPr>
      <w:pStyle w:val="Footer"/>
      <w:jc w:val="right"/>
    </w:pPr>
    <w:r w:rsidRPr="00E67917">
      <w:rPr>
        <w:rFonts w:cs="Times New Roman"/>
        <w:lang w:val="en-US"/>
      </w:rPr>
      <w:t xml:space="preserve">Page </w:t>
    </w:r>
    <w:r w:rsidRPr="00E67917">
      <w:rPr>
        <w:rFonts w:cs="Times New Roman"/>
        <w:lang w:val="en-US"/>
      </w:rPr>
      <w:fldChar w:fldCharType="begin"/>
    </w:r>
    <w:r w:rsidRPr="00E67917">
      <w:rPr>
        <w:rFonts w:cs="Times New Roman"/>
        <w:lang w:val="en-US"/>
      </w:rPr>
      <w:instrText xml:space="preserve"> PAGE </w:instrText>
    </w:r>
    <w:r w:rsidRPr="00E67917">
      <w:rPr>
        <w:rFonts w:cs="Times New Roman"/>
        <w:lang w:val="en-US"/>
      </w:rPr>
      <w:fldChar w:fldCharType="separate"/>
    </w:r>
    <w:r w:rsidR="00D00979">
      <w:rPr>
        <w:rFonts w:cs="Times New Roman"/>
        <w:noProof/>
        <w:lang w:val="en-US"/>
      </w:rPr>
      <w:t>2</w:t>
    </w:r>
    <w:r w:rsidRPr="00E67917">
      <w:rPr>
        <w:rFonts w:cs="Times New Roman"/>
        <w:lang w:val="en-US"/>
      </w:rPr>
      <w:fldChar w:fldCharType="end"/>
    </w:r>
    <w:r w:rsidRPr="00E67917">
      <w:rPr>
        <w:rFonts w:cs="Times New Roman"/>
        <w:lang w:val="en-US"/>
      </w:rPr>
      <w:t xml:space="preserve"> of </w:t>
    </w:r>
    <w:r w:rsidRPr="00E67917">
      <w:rPr>
        <w:rFonts w:cs="Times New Roman"/>
        <w:lang w:val="en-US"/>
      </w:rPr>
      <w:fldChar w:fldCharType="begin"/>
    </w:r>
    <w:r w:rsidRPr="00E67917">
      <w:rPr>
        <w:rFonts w:cs="Times New Roman"/>
        <w:lang w:val="en-US"/>
      </w:rPr>
      <w:instrText xml:space="preserve"> NUMPAGES </w:instrText>
    </w:r>
    <w:r w:rsidRPr="00E67917">
      <w:rPr>
        <w:rFonts w:cs="Times New Roman"/>
        <w:lang w:val="en-US"/>
      </w:rPr>
      <w:fldChar w:fldCharType="separate"/>
    </w:r>
    <w:r w:rsidR="00D00979">
      <w:rPr>
        <w:rFonts w:cs="Times New Roman"/>
        <w:noProof/>
        <w:lang w:val="en-US"/>
      </w:rPr>
      <w:t>13</w:t>
    </w:r>
    <w:r w:rsidRPr="00E67917">
      <w:rPr>
        <w:rFonts w:cs="Times New Roman"/>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C3D0E" w14:textId="77777777" w:rsidR="009920E2" w:rsidRDefault="009920E2" w:rsidP="00E67917">
      <w:r>
        <w:separator/>
      </w:r>
    </w:p>
  </w:footnote>
  <w:footnote w:type="continuationSeparator" w:id="0">
    <w:p w14:paraId="5CF3B5D7" w14:textId="77777777" w:rsidR="009920E2" w:rsidRDefault="009920E2" w:rsidP="00E67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A0A"/>
    <w:multiLevelType w:val="hybridMultilevel"/>
    <w:tmpl w:val="57B08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C5C0C"/>
    <w:multiLevelType w:val="hybridMultilevel"/>
    <w:tmpl w:val="00088D80"/>
    <w:lvl w:ilvl="0" w:tplc="04090003">
      <w:start w:val="1"/>
      <w:numFmt w:val="bullet"/>
      <w:lvlText w:val="o"/>
      <w:lvlJc w:val="left"/>
      <w:pPr>
        <w:ind w:left="775" w:hanging="360"/>
      </w:pPr>
      <w:rPr>
        <w:rFonts w:ascii="Courier New" w:hAnsi="Courier New"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8D03EF4"/>
    <w:multiLevelType w:val="hybridMultilevel"/>
    <w:tmpl w:val="B5DE9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16C3A"/>
    <w:multiLevelType w:val="hybridMultilevel"/>
    <w:tmpl w:val="8546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21CA"/>
    <w:multiLevelType w:val="hybridMultilevel"/>
    <w:tmpl w:val="D190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93A1E"/>
    <w:multiLevelType w:val="hybridMultilevel"/>
    <w:tmpl w:val="94FA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A74A0"/>
    <w:multiLevelType w:val="hybridMultilevel"/>
    <w:tmpl w:val="C1904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794BD8"/>
    <w:multiLevelType w:val="hybridMultilevel"/>
    <w:tmpl w:val="B89E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5BBB6CF0"/>
    <w:multiLevelType w:val="hybridMultilevel"/>
    <w:tmpl w:val="A15CE4FA"/>
    <w:lvl w:ilvl="0" w:tplc="EBE082D6">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C0C134C"/>
    <w:multiLevelType w:val="hybridMultilevel"/>
    <w:tmpl w:val="F29609EA"/>
    <w:lvl w:ilvl="0" w:tplc="04090003">
      <w:start w:val="1"/>
      <w:numFmt w:val="bullet"/>
      <w:lvlText w:val="o"/>
      <w:lvlJc w:val="left"/>
      <w:pPr>
        <w:ind w:left="775" w:hanging="360"/>
      </w:pPr>
      <w:rPr>
        <w:rFonts w:ascii="Courier New" w:hAnsi="Courier New"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7EB36AED"/>
    <w:multiLevelType w:val="hybridMultilevel"/>
    <w:tmpl w:val="8662E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0"/>
  </w:num>
  <w:num w:numId="5">
    <w:abstractNumId w:val="6"/>
  </w:num>
  <w:num w:numId="6">
    <w:abstractNumId w:val="2"/>
  </w:num>
  <w:num w:numId="7">
    <w:abstractNumId w:val="4"/>
  </w:num>
  <w:num w:numId="8">
    <w:abstractNumId w:val="9"/>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A7"/>
    <w:rsid w:val="00001B87"/>
    <w:rsid w:val="00002953"/>
    <w:rsid w:val="00004CE4"/>
    <w:rsid w:val="00012573"/>
    <w:rsid w:val="0002001B"/>
    <w:rsid w:val="0002053E"/>
    <w:rsid w:val="00023E16"/>
    <w:rsid w:val="000327DD"/>
    <w:rsid w:val="00033F95"/>
    <w:rsid w:val="00037C7C"/>
    <w:rsid w:val="000443F1"/>
    <w:rsid w:val="000478A4"/>
    <w:rsid w:val="00050C66"/>
    <w:rsid w:val="00050DBD"/>
    <w:rsid w:val="0005184A"/>
    <w:rsid w:val="00057DDB"/>
    <w:rsid w:val="000624AD"/>
    <w:rsid w:val="00062CCE"/>
    <w:rsid w:val="00074FD4"/>
    <w:rsid w:val="00082C98"/>
    <w:rsid w:val="000909AB"/>
    <w:rsid w:val="00092A52"/>
    <w:rsid w:val="00095FD8"/>
    <w:rsid w:val="000A08AE"/>
    <w:rsid w:val="000A1ED4"/>
    <w:rsid w:val="000B3B9E"/>
    <w:rsid w:val="000B45F8"/>
    <w:rsid w:val="000B7417"/>
    <w:rsid w:val="000C0433"/>
    <w:rsid w:val="000C2D9F"/>
    <w:rsid w:val="000C3416"/>
    <w:rsid w:val="000C77C5"/>
    <w:rsid w:val="000D0B6C"/>
    <w:rsid w:val="000D5F0B"/>
    <w:rsid w:val="000D6AF0"/>
    <w:rsid w:val="000D7E12"/>
    <w:rsid w:val="000E06CC"/>
    <w:rsid w:val="000E1FC3"/>
    <w:rsid w:val="000E21D2"/>
    <w:rsid w:val="000E2962"/>
    <w:rsid w:val="000E2FF2"/>
    <w:rsid w:val="000E3C8E"/>
    <w:rsid w:val="000E502C"/>
    <w:rsid w:val="000E5FCA"/>
    <w:rsid w:val="000F0706"/>
    <w:rsid w:val="000F6563"/>
    <w:rsid w:val="0010501F"/>
    <w:rsid w:val="001237DA"/>
    <w:rsid w:val="00124EF1"/>
    <w:rsid w:val="001262D6"/>
    <w:rsid w:val="00126D7A"/>
    <w:rsid w:val="001273E8"/>
    <w:rsid w:val="00133CDE"/>
    <w:rsid w:val="00134498"/>
    <w:rsid w:val="00151863"/>
    <w:rsid w:val="00151D2D"/>
    <w:rsid w:val="00152358"/>
    <w:rsid w:val="00152B6C"/>
    <w:rsid w:val="00155BAF"/>
    <w:rsid w:val="00160CDC"/>
    <w:rsid w:val="00161967"/>
    <w:rsid w:val="001657D7"/>
    <w:rsid w:val="0017024D"/>
    <w:rsid w:val="001724A1"/>
    <w:rsid w:val="00173386"/>
    <w:rsid w:val="00174093"/>
    <w:rsid w:val="00176BA4"/>
    <w:rsid w:val="001841E1"/>
    <w:rsid w:val="00190407"/>
    <w:rsid w:val="001931C6"/>
    <w:rsid w:val="00193A0D"/>
    <w:rsid w:val="00196546"/>
    <w:rsid w:val="001A11C2"/>
    <w:rsid w:val="001B07F5"/>
    <w:rsid w:val="001B2B16"/>
    <w:rsid w:val="001B2F85"/>
    <w:rsid w:val="001B3FB1"/>
    <w:rsid w:val="001C16D4"/>
    <w:rsid w:val="001C2732"/>
    <w:rsid w:val="001C5F59"/>
    <w:rsid w:val="001C6098"/>
    <w:rsid w:val="001C7F92"/>
    <w:rsid w:val="001D0038"/>
    <w:rsid w:val="001D4509"/>
    <w:rsid w:val="001D4AAC"/>
    <w:rsid w:val="001D5118"/>
    <w:rsid w:val="001D5573"/>
    <w:rsid w:val="001D7B78"/>
    <w:rsid w:val="001E47E2"/>
    <w:rsid w:val="001E5833"/>
    <w:rsid w:val="001E5C3D"/>
    <w:rsid w:val="001F25C8"/>
    <w:rsid w:val="001F3843"/>
    <w:rsid w:val="00202F43"/>
    <w:rsid w:val="0020597D"/>
    <w:rsid w:val="00205CCA"/>
    <w:rsid w:val="00206109"/>
    <w:rsid w:val="00210706"/>
    <w:rsid w:val="002107D3"/>
    <w:rsid w:val="00210CCA"/>
    <w:rsid w:val="00210D38"/>
    <w:rsid w:val="00211E68"/>
    <w:rsid w:val="00214433"/>
    <w:rsid w:val="00215807"/>
    <w:rsid w:val="00221021"/>
    <w:rsid w:val="0022758D"/>
    <w:rsid w:val="00233C1F"/>
    <w:rsid w:val="00236A32"/>
    <w:rsid w:val="00245860"/>
    <w:rsid w:val="002558CE"/>
    <w:rsid w:val="00264640"/>
    <w:rsid w:val="00271610"/>
    <w:rsid w:val="00271A01"/>
    <w:rsid w:val="00281CD6"/>
    <w:rsid w:val="0028265B"/>
    <w:rsid w:val="002827F8"/>
    <w:rsid w:val="002A1128"/>
    <w:rsid w:val="002A3DFB"/>
    <w:rsid w:val="002B142A"/>
    <w:rsid w:val="002C100C"/>
    <w:rsid w:val="002C1DBB"/>
    <w:rsid w:val="002C5A8D"/>
    <w:rsid w:val="002C5E50"/>
    <w:rsid w:val="002D2055"/>
    <w:rsid w:val="002D21E4"/>
    <w:rsid w:val="002D3DC7"/>
    <w:rsid w:val="002D483C"/>
    <w:rsid w:val="002D4FC8"/>
    <w:rsid w:val="002E2045"/>
    <w:rsid w:val="002E59B5"/>
    <w:rsid w:val="002F0DB7"/>
    <w:rsid w:val="002F3519"/>
    <w:rsid w:val="002F3649"/>
    <w:rsid w:val="002F4688"/>
    <w:rsid w:val="00303EBB"/>
    <w:rsid w:val="00310E29"/>
    <w:rsid w:val="00312237"/>
    <w:rsid w:val="003132DC"/>
    <w:rsid w:val="003138E0"/>
    <w:rsid w:val="00313E13"/>
    <w:rsid w:val="0031431D"/>
    <w:rsid w:val="003161DB"/>
    <w:rsid w:val="00316D7C"/>
    <w:rsid w:val="00317859"/>
    <w:rsid w:val="00322A78"/>
    <w:rsid w:val="003243BD"/>
    <w:rsid w:val="00332C44"/>
    <w:rsid w:val="00334BE1"/>
    <w:rsid w:val="0034057C"/>
    <w:rsid w:val="003406D6"/>
    <w:rsid w:val="00350784"/>
    <w:rsid w:val="0035158C"/>
    <w:rsid w:val="00357947"/>
    <w:rsid w:val="00361626"/>
    <w:rsid w:val="003622A3"/>
    <w:rsid w:val="003657CD"/>
    <w:rsid w:val="00372F89"/>
    <w:rsid w:val="0037385A"/>
    <w:rsid w:val="00375B80"/>
    <w:rsid w:val="0037734C"/>
    <w:rsid w:val="00377601"/>
    <w:rsid w:val="00377C11"/>
    <w:rsid w:val="0038088A"/>
    <w:rsid w:val="00380D02"/>
    <w:rsid w:val="00381735"/>
    <w:rsid w:val="003833B3"/>
    <w:rsid w:val="00383962"/>
    <w:rsid w:val="00384B93"/>
    <w:rsid w:val="0038678C"/>
    <w:rsid w:val="003871BB"/>
    <w:rsid w:val="0038774F"/>
    <w:rsid w:val="00390D19"/>
    <w:rsid w:val="003927A7"/>
    <w:rsid w:val="003A0817"/>
    <w:rsid w:val="003A187B"/>
    <w:rsid w:val="003A45CB"/>
    <w:rsid w:val="003A487F"/>
    <w:rsid w:val="003B1E0A"/>
    <w:rsid w:val="003B7C55"/>
    <w:rsid w:val="003C1CFB"/>
    <w:rsid w:val="003C2F4A"/>
    <w:rsid w:val="003C3844"/>
    <w:rsid w:val="003C687F"/>
    <w:rsid w:val="003C749A"/>
    <w:rsid w:val="003D2810"/>
    <w:rsid w:val="003D3876"/>
    <w:rsid w:val="003D3B40"/>
    <w:rsid w:val="003D6D24"/>
    <w:rsid w:val="003E00CE"/>
    <w:rsid w:val="003E15F4"/>
    <w:rsid w:val="003E20AF"/>
    <w:rsid w:val="003F5C1D"/>
    <w:rsid w:val="003F6032"/>
    <w:rsid w:val="003F700A"/>
    <w:rsid w:val="0040318F"/>
    <w:rsid w:val="0040478C"/>
    <w:rsid w:val="00406BCA"/>
    <w:rsid w:val="00407646"/>
    <w:rsid w:val="004108C2"/>
    <w:rsid w:val="00410F90"/>
    <w:rsid w:val="00417DAE"/>
    <w:rsid w:val="00423220"/>
    <w:rsid w:val="00427D63"/>
    <w:rsid w:val="004303B8"/>
    <w:rsid w:val="00431078"/>
    <w:rsid w:val="00442FFE"/>
    <w:rsid w:val="00444781"/>
    <w:rsid w:val="0044516F"/>
    <w:rsid w:val="00446567"/>
    <w:rsid w:val="00446AD5"/>
    <w:rsid w:val="00447618"/>
    <w:rsid w:val="00451A42"/>
    <w:rsid w:val="0045628A"/>
    <w:rsid w:val="0047177D"/>
    <w:rsid w:val="004747FE"/>
    <w:rsid w:val="00475ED4"/>
    <w:rsid w:val="00476D87"/>
    <w:rsid w:val="00480958"/>
    <w:rsid w:val="00483FF6"/>
    <w:rsid w:val="00485E5C"/>
    <w:rsid w:val="004872A4"/>
    <w:rsid w:val="0049042F"/>
    <w:rsid w:val="004909DF"/>
    <w:rsid w:val="00494D8A"/>
    <w:rsid w:val="004956FD"/>
    <w:rsid w:val="00497BA1"/>
    <w:rsid w:val="004A09EA"/>
    <w:rsid w:val="004A538D"/>
    <w:rsid w:val="004B1148"/>
    <w:rsid w:val="004B203A"/>
    <w:rsid w:val="004B49C3"/>
    <w:rsid w:val="004B5F6A"/>
    <w:rsid w:val="004B668D"/>
    <w:rsid w:val="004C3741"/>
    <w:rsid w:val="004C37D7"/>
    <w:rsid w:val="004C6AFF"/>
    <w:rsid w:val="004E2497"/>
    <w:rsid w:val="004E5842"/>
    <w:rsid w:val="004F0541"/>
    <w:rsid w:val="004F1937"/>
    <w:rsid w:val="004F42EE"/>
    <w:rsid w:val="004F671B"/>
    <w:rsid w:val="00502644"/>
    <w:rsid w:val="005061B7"/>
    <w:rsid w:val="005069A7"/>
    <w:rsid w:val="005142B8"/>
    <w:rsid w:val="005146F2"/>
    <w:rsid w:val="00516241"/>
    <w:rsid w:val="005171F8"/>
    <w:rsid w:val="005173A7"/>
    <w:rsid w:val="00522340"/>
    <w:rsid w:val="00523039"/>
    <w:rsid w:val="005231B2"/>
    <w:rsid w:val="005246AD"/>
    <w:rsid w:val="00524AA8"/>
    <w:rsid w:val="005256EF"/>
    <w:rsid w:val="00526A73"/>
    <w:rsid w:val="005313A1"/>
    <w:rsid w:val="00531563"/>
    <w:rsid w:val="0053342B"/>
    <w:rsid w:val="005358D5"/>
    <w:rsid w:val="00545AB2"/>
    <w:rsid w:val="0054652B"/>
    <w:rsid w:val="00547D68"/>
    <w:rsid w:val="00547FBE"/>
    <w:rsid w:val="0055558D"/>
    <w:rsid w:val="00556EB9"/>
    <w:rsid w:val="00557BAB"/>
    <w:rsid w:val="00561A3A"/>
    <w:rsid w:val="00561B59"/>
    <w:rsid w:val="00562FF4"/>
    <w:rsid w:val="00565B94"/>
    <w:rsid w:val="005664E1"/>
    <w:rsid w:val="005666AD"/>
    <w:rsid w:val="0056755B"/>
    <w:rsid w:val="005753D4"/>
    <w:rsid w:val="00575A3F"/>
    <w:rsid w:val="0057618C"/>
    <w:rsid w:val="00576A4F"/>
    <w:rsid w:val="0058245E"/>
    <w:rsid w:val="005863EE"/>
    <w:rsid w:val="00594514"/>
    <w:rsid w:val="005965A1"/>
    <w:rsid w:val="00597962"/>
    <w:rsid w:val="00597EFF"/>
    <w:rsid w:val="005A0877"/>
    <w:rsid w:val="005A254F"/>
    <w:rsid w:val="005A4AEF"/>
    <w:rsid w:val="005A5831"/>
    <w:rsid w:val="005B7320"/>
    <w:rsid w:val="005C1B3B"/>
    <w:rsid w:val="005C4CCA"/>
    <w:rsid w:val="005C6210"/>
    <w:rsid w:val="005D6F5F"/>
    <w:rsid w:val="005E0B44"/>
    <w:rsid w:val="005E1E59"/>
    <w:rsid w:val="005E32CA"/>
    <w:rsid w:val="005E48CF"/>
    <w:rsid w:val="005E64B8"/>
    <w:rsid w:val="005F04A0"/>
    <w:rsid w:val="005F074A"/>
    <w:rsid w:val="005F626C"/>
    <w:rsid w:val="00601196"/>
    <w:rsid w:val="006021F3"/>
    <w:rsid w:val="006109A8"/>
    <w:rsid w:val="00611911"/>
    <w:rsid w:val="006145D4"/>
    <w:rsid w:val="00615260"/>
    <w:rsid w:val="00617659"/>
    <w:rsid w:val="0062005E"/>
    <w:rsid w:val="00625B8D"/>
    <w:rsid w:val="006271F3"/>
    <w:rsid w:val="006312ED"/>
    <w:rsid w:val="00635D45"/>
    <w:rsid w:val="00636646"/>
    <w:rsid w:val="0064122D"/>
    <w:rsid w:val="00641B08"/>
    <w:rsid w:val="00643C81"/>
    <w:rsid w:val="0064567E"/>
    <w:rsid w:val="0064629D"/>
    <w:rsid w:val="00650417"/>
    <w:rsid w:val="00652ECC"/>
    <w:rsid w:val="00653DFC"/>
    <w:rsid w:val="006624A4"/>
    <w:rsid w:val="0066298C"/>
    <w:rsid w:val="006635A4"/>
    <w:rsid w:val="00666435"/>
    <w:rsid w:val="00671F12"/>
    <w:rsid w:val="0067315E"/>
    <w:rsid w:val="00674C21"/>
    <w:rsid w:val="00675006"/>
    <w:rsid w:val="006811A4"/>
    <w:rsid w:val="0069677E"/>
    <w:rsid w:val="006A1426"/>
    <w:rsid w:val="006A565D"/>
    <w:rsid w:val="006B19F2"/>
    <w:rsid w:val="006B286C"/>
    <w:rsid w:val="006B3A3C"/>
    <w:rsid w:val="006B7B3D"/>
    <w:rsid w:val="006B7E21"/>
    <w:rsid w:val="006C03C8"/>
    <w:rsid w:val="006C228C"/>
    <w:rsid w:val="006C2EF3"/>
    <w:rsid w:val="006C32D7"/>
    <w:rsid w:val="006C491A"/>
    <w:rsid w:val="006C6A71"/>
    <w:rsid w:val="006C72E6"/>
    <w:rsid w:val="006D1028"/>
    <w:rsid w:val="006E2116"/>
    <w:rsid w:val="006F136F"/>
    <w:rsid w:val="006F32E3"/>
    <w:rsid w:val="006F4C99"/>
    <w:rsid w:val="007024A5"/>
    <w:rsid w:val="007030B7"/>
    <w:rsid w:val="00703712"/>
    <w:rsid w:val="00705393"/>
    <w:rsid w:val="00712587"/>
    <w:rsid w:val="0071401A"/>
    <w:rsid w:val="00716EFD"/>
    <w:rsid w:val="007178A1"/>
    <w:rsid w:val="00720444"/>
    <w:rsid w:val="007204DD"/>
    <w:rsid w:val="007228A7"/>
    <w:rsid w:val="007239F4"/>
    <w:rsid w:val="007243FC"/>
    <w:rsid w:val="0072748E"/>
    <w:rsid w:val="00731930"/>
    <w:rsid w:val="00732770"/>
    <w:rsid w:val="00732FCD"/>
    <w:rsid w:val="00737BAD"/>
    <w:rsid w:val="00743F56"/>
    <w:rsid w:val="00752BC8"/>
    <w:rsid w:val="00752BF0"/>
    <w:rsid w:val="007550E3"/>
    <w:rsid w:val="0075775C"/>
    <w:rsid w:val="007603A5"/>
    <w:rsid w:val="00766539"/>
    <w:rsid w:val="007675DF"/>
    <w:rsid w:val="00767CAB"/>
    <w:rsid w:val="007756E2"/>
    <w:rsid w:val="00780E52"/>
    <w:rsid w:val="0078148B"/>
    <w:rsid w:val="00782F67"/>
    <w:rsid w:val="00784136"/>
    <w:rsid w:val="00786E7F"/>
    <w:rsid w:val="007870F6"/>
    <w:rsid w:val="00797282"/>
    <w:rsid w:val="007A0792"/>
    <w:rsid w:val="007A3F40"/>
    <w:rsid w:val="007A4E0E"/>
    <w:rsid w:val="007A585A"/>
    <w:rsid w:val="007A78F2"/>
    <w:rsid w:val="007B0324"/>
    <w:rsid w:val="007B1EB5"/>
    <w:rsid w:val="007B2017"/>
    <w:rsid w:val="007B3083"/>
    <w:rsid w:val="007B5B41"/>
    <w:rsid w:val="007B60EE"/>
    <w:rsid w:val="007B64C4"/>
    <w:rsid w:val="007C1F40"/>
    <w:rsid w:val="007C23F5"/>
    <w:rsid w:val="007D3264"/>
    <w:rsid w:val="007D6818"/>
    <w:rsid w:val="007D6C86"/>
    <w:rsid w:val="007D7E13"/>
    <w:rsid w:val="007E20FC"/>
    <w:rsid w:val="007F00F2"/>
    <w:rsid w:val="007F07EC"/>
    <w:rsid w:val="007F267B"/>
    <w:rsid w:val="007F2771"/>
    <w:rsid w:val="007F5229"/>
    <w:rsid w:val="007F6314"/>
    <w:rsid w:val="007F7BAA"/>
    <w:rsid w:val="0081186D"/>
    <w:rsid w:val="00822C13"/>
    <w:rsid w:val="00823B40"/>
    <w:rsid w:val="00831D24"/>
    <w:rsid w:val="008403EA"/>
    <w:rsid w:val="008406DC"/>
    <w:rsid w:val="00840F90"/>
    <w:rsid w:val="00843A0D"/>
    <w:rsid w:val="0084457B"/>
    <w:rsid w:val="00847093"/>
    <w:rsid w:val="0084766E"/>
    <w:rsid w:val="00857B97"/>
    <w:rsid w:val="0086457E"/>
    <w:rsid w:val="008658FB"/>
    <w:rsid w:val="008667BB"/>
    <w:rsid w:val="0087027B"/>
    <w:rsid w:val="008738C3"/>
    <w:rsid w:val="008749F2"/>
    <w:rsid w:val="008774B8"/>
    <w:rsid w:val="008858EA"/>
    <w:rsid w:val="00885B48"/>
    <w:rsid w:val="00891FD1"/>
    <w:rsid w:val="00896151"/>
    <w:rsid w:val="008A5F53"/>
    <w:rsid w:val="008A647A"/>
    <w:rsid w:val="008B3C49"/>
    <w:rsid w:val="008B3FA3"/>
    <w:rsid w:val="008B45DB"/>
    <w:rsid w:val="008B7877"/>
    <w:rsid w:val="008B7A0B"/>
    <w:rsid w:val="008C0CDB"/>
    <w:rsid w:val="008C5A0F"/>
    <w:rsid w:val="008D5E64"/>
    <w:rsid w:val="008E1AC1"/>
    <w:rsid w:val="008E659A"/>
    <w:rsid w:val="008F3C4F"/>
    <w:rsid w:val="008F6860"/>
    <w:rsid w:val="008F6E13"/>
    <w:rsid w:val="008F7A5C"/>
    <w:rsid w:val="008F7ED7"/>
    <w:rsid w:val="00907A27"/>
    <w:rsid w:val="00915079"/>
    <w:rsid w:val="0092409E"/>
    <w:rsid w:val="00924B6A"/>
    <w:rsid w:val="0092600A"/>
    <w:rsid w:val="00926C36"/>
    <w:rsid w:val="00926E2B"/>
    <w:rsid w:val="00931B94"/>
    <w:rsid w:val="009331A0"/>
    <w:rsid w:val="00940EEC"/>
    <w:rsid w:val="0095100A"/>
    <w:rsid w:val="00951674"/>
    <w:rsid w:val="009524CD"/>
    <w:rsid w:val="00953A6A"/>
    <w:rsid w:val="00953FDB"/>
    <w:rsid w:val="00956CDB"/>
    <w:rsid w:val="00961A0F"/>
    <w:rsid w:val="00965823"/>
    <w:rsid w:val="00966635"/>
    <w:rsid w:val="009723D9"/>
    <w:rsid w:val="0097519C"/>
    <w:rsid w:val="009768EA"/>
    <w:rsid w:val="00981B7E"/>
    <w:rsid w:val="00985B8B"/>
    <w:rsid w:val="009920E2"/>
    <w:rsid w:val="00992CE7"/>
    <w:rsid w:val="0099585C"/>
    <w:rsid w:val="009A0BC2"/>
    <w:rsid w:val="009A2EC6"/>
    <w:rsid w:val="009B1613"/>
    <w:rsid w:val="009B2623"/>
    <w:rsid w:val="009B419A"/>
    <w:rsid w:val="009B5F3F"/>
    <w:rsid w:val="009C484D"/>
    <w:rsid w:val="009C4908"/>
    <w:rsid w:val="009C62F2"/>
    <w:rsid w:val="009D1F0A"/>
    <w:rsid w:val="009D2CDA"/>
    <w:rsid w:val="009E3584"/>
    <w:rsid w:val="009E7835"/>
    <w:rsid w:val="009F0B40"/>
    <w:rsid w:val="009F159D"/>
    <w:rsid w:val="009F506B"/>
    <w:rsid w:val="009F6DE1"/>
    <w:rsid w:val="00A02227"/>
    <w:rsid w:val="00A0228C"/>
    <w:rsid w:val="00A1419B"/>
    <w:rsid w:val="00A22427"/>
    <w:rsid w:val="00A23CAB"/>
    <w:rsid w:val="00A31DFE"/>
    <w:rsid w:val="00A41CA1"/>
    <w:rsid w:val="00A42544"/>
    <w:rsid w:val="00A426AD"/>
    <w:rsid w:val="00A4607D"/>
    <w:rsid w:val="00A54CEA"/>
    <w:rsid w:val="00A5653D"/>
    <w:rsid w:val="00A63170"/>
    <w:rsid w:val="00A723AE"/>
    <w:rsid w:val="00A74DF8"/>
    <w:rsid w:val="00A773E8"/>
    <w:rsid w:val="00A80169"/>
    <w:rsid w:val="00A84A64"/>
    <w:rsid w:val="00A924B5"/>
    <w:rsid w:val="00A93678"/>
    <w:rsid w:val="00A945FB"/>
    <w:rsid w:val="00A94C56"/>
    <w:rsid w:val="00AA325E"/>
    <w:rsid w:val="00AA52A9"/>
    <w:rsid w:val="00AA6995"/>
    <w:rsid w:val="00AB1AD4"/>
    <w:rsid w:val="00AB39D5"/>
    <w:rsid w:val="00AC1DBE"/>
    <w:rsid w:val="00AC218D"/>
    <w:rsid w:val="00AC2B55"/>
    <w:rsid w:val="00AC3CE4"/>
    <w:rsid w:val="00AC5F66"/>
    <w:rsid w:val="00AD205C"/>
    <w:rsid w:val="00AD489F"/>
    <w:rsid w:val="00AE0E08"/>
    <w:rsid w:val="00AE232B"/>
    <w:rsid w:val="00AE31E4"/>
    <w:rsid w:val="00AE618E"/>
    <w:rsid w:val="00AF2E1E"/>
    <w:rsid w:val="00B00E14"/>
    <w:rsid w:val="00B015E5"/>
    <w:rsid w:val="00B02FD8"/>
    <w:rsid w:val="00B10F31"/>
    <w:rsid w:val="00B1546F"/>
    <w:rsid w:val="00B226A2"/>
    <w:rsid w:val="00B3251D"/>
    <w:rsid w:val="00B356AE"/>
    <w:rsid w:val="00B35876"/>
    <w:rsid w:val="00B4185C"/>
    <w:rsid w:val="00B4270C"/>
    <w:rsid w:val="00B5118F"/>
    <w:rsid w:val="00B512AE"/>
    <w:rsid w:val="00B51CCC"/>
    <w:rsid w:val="00B60BB1"/>
    <w:rsid w:val="00B65040"/>
    <w:rsid w:val="00B70502"/>
    <w:rsid w:val="00B71D71"/>
    <w:rsid w:val="00B71F62"/>
    <w:rsid w:val="00B741D6"/>
    <w:rsid w:val="00B846A1"/>
    <w:rsid w:val="00B86935"/>
    <w:rsid w:val="00B92E9C"/>
    <w:rsid w:val="00B934A3"/>
    <w:rsid w:val="00B93F19"/>
    <w:rsid w:val="00BA48A9"/>
    <w:rsid w:val="00BA7071"/>
    <w:rsid w:val="00BB044E"/>
    <w:rsid w:val="00BB606C"/>
    <w:rsid w:val="00BB6E8F"/>
    <w:rsid w:val="00BC01D4"/>
    <w:rsid w:val="00BC032E"/>
    <w:rsid w:val="00BC1BB1"/>
    <w:rsid w:val="00BC2428"/>
    <w:rsid w:val="00BC7245"/>
    <w:rsid w:val="00BE1E32"/>
    <w:rsid w:val="00BE5B73"/>
    <w:rsid w:val="00BE73A4"/>
    <w:rsid w:val="00C00828"/>
    <w:rsid w:val="00C010F4"/>
    <w:rsid w:val="00C02680"/>
    <w:rsid w:val="00C04FE9"/>
    <w:rsid w:val="00C058C7"/>
    <w:rsid w:val="00C1458C"/>
    <w:rsid w:val="00C155FA"/>
    <w:rsid w:val="00C161AD"/>
    <w:rsid w:val="00C2055E"/>
    <w:rsid w:val="00C25088"/>
    <w:rsid w:val="00C313DF"/>
    <w:rsid w:val="00C339A7"/>
    <w:rsid w:val="00C41410"/>
    <w:rsid w:val="00C466FE"/>
    <w:rsid w:val="00C54806"/>
    <w:rsid w:val="00C57B6A"/>
    <w:rsid w:val="00C607BA"/>
    <w:rsid w:val="00C60D26"/>
    <w:rsid w:val="00C64E3D"/>
    <w:rsid w:val="00C66D0F"/>
    <w:rsid w:val="00C76FB0"/>
    <w:rsid w:val="00C77EC5"/>
    <w:rsid w:val="00C843D7"/>
    <w:rsid w:val="00C90A18"/>
    <w:rsid w:val="00C9100B"/>
    <w:rsid w:val="00C93462"/>
    <w:rsid w:val="00CA2FC1"/>
    <w:rsid w:val="00CA4B8E"/>
    <w:rsid w:val="00CA6379"/>
    <w:rsid w:val="00CB65E5"/>
    <w:rsid w:val="00CC44DD"/>
    <w:rsid w:val="00CC63AB"/>
    <w:rsid w:val="00CD5CB2"/>
    <w:rsid w:val="00CE08C6"/>
    <w:rsid w:val="00CE30C5"/>
    <w:rsid w:val="00CE68FE"/>
    <w:rsid w:val="00CE7B6E"/>
    <w:rsid w:val="00CF550E"/>
    <w:rsid w:val="00CF7B5F"/>
    <w:rsid w:val="00D00979"/>
    <w:rsid w:val="00D10689"/>
    <w:rsid w:val="00D12B6B"/>
    <w:rsid w:val="00D16007"/>
    <w:rsid w:val="00D17064"/>
    <w:rsid w:val="00D31635"/>
    <w:rsid w:val="00D400F4"/>
    <w:rsid w:val="00D4580C"/>
    <w:rsid w:val="00D50F0E"/>
    <w:rsid w:val="00D53417"/>
    <w:rsid w:val="00D54BF9"/>
    <w:rsid w:val="00D56550"/>
    <w:rsid w:val="00D568A1"/>
    <w:rsid w:val="00D5799C"/>
    <w:rsid w:val="00D64067"/>
    <w:rsid w:val="00D67A56"/>
    <w:rsid w:val="00D707CF"/>
    <w:rsid w:val="00D730AA"/>
    <w:rsid w:val="00D81D5A"/>
    <w:rsid w:val="00D8284F"/>
    <w:rsid w:val="00D83E8D"/>
    <w:rsid w:val="00D86A57"/>
    <w:rsid w:val="00D952A8"/>
    <w:rsid w:val="00D953AE"/>
    <w:rsid w:val="00DA30C5"/>
    <w:rsid w:val="00DC066C"/>
    <w:rsid w:val="00DC0BF4"/>
    <w:rsid w:val="00DD1634"/>
    <w:rsid w:val="00DE33B9"/>
    <w:rsid w:val="00DF1C42"/>
    <w:rsid w:val="00DF27C8"/>
    <w:rsid w:val="00DF55C5"/>
    <w:rsid w:val="00DF77FE"/>
    <w:rsid w:val="00E025E0"/>
    <w:rsid w:val="00E037A3"/>
    <w:rsid w:val="00E10DF2"/>
    <w:rsid w:val="00E11675"/>
    <w:rsid w:val="00E1403C"/>
    <w:rsid w:val="00E15B62"/>
    <w:rsid w:val="00E17CD1"/>
    <w:rsid w:val="00E24760"/>
    <w:rsid w:val="00E24D66"/>
    <w:rsid w:val="00E2531C"/>
    <w:rsid w:val="00E266A7"/>
    <w:rsid w:val="00E2756E"/>
    <w:rsid w:val="00E32809"/>
    <w:rsid w:val="00E33EE9"/>
    <w:rsid w:val="00E34C23"/>
    <w:rsid w:val="00E44BFC"/>
    <w:rsid w:val="00E54781"/>
    <w:rsid w:val="00E548FF"/>
    <w:rsid w:val="00E54E7B"/>
    <w:rsid w:val="00E55C8D"/>
    <w:rsid w:val="00E63192"/>
    <w:rsid w:val="00E6696D"/>
    <w:rsid w:val="00E67917"/>
    <w:rsid w:val="00E70514"/>
    <w:rsid w:val="00E72391"/>
    <w:rsid w:val="00E72DCF"/>
    <w:rsid w:val="00E73715"/>
    <w:rsid w:val="00E74700"/>
    <w:rsid w:val="00E80DE4"/>
    <w:rsid w:val="00E90C3D"/>
    <w:rsid w:val="00E95B43"/>
    <w:rsid w:val="00EA6186"/>
    <w:rsid w:val="00EB401D"/>
    <w:rsid w:val="00EB4183"/>
    <w:rsid w:val="00EB5949"/>
    <w:rsid w:val="00EC008D"/>
    <w:rsid w:val="00EC3FE4"/>
    <w:rsid w:val="00ED07E1"/>
    <w:rsid w:val="00EE11A2"/>
    <w:rsid w:val="00EE4B4C"/>
    <w:rsid w:val="00EE7672"/>
    <w:rsid w:val="00EF051A"/>
    <w:rsid w:val="00EF0616"/>
    <w:rsid w:val="00EF0D8D"/>
    <w:rsid w:val="00EF4114"/>
    <w:rsid w:val="00F00783"/>
    <w:rsid w:val="00F0652B"/>
    <w:rsid w:val="00F14C41"/>
    <w:rsid w:val="00F21D35"/>
    <w:rsid w:val="00F22C49"/>
    <w:rsid w:val="00F257A9"/>
    <w:rsid w:val="00F25D10"/>
    <w:rsid w:val="00F417EF"/>
    <w:rsid w:val="00F41FE5"/>
    <w:rsid w:val="00F463A1"/>
    <w:rsid w:val="00F47D95"/>
    <w:rsid w:val="00F540EE"/>
    <w:rsid w:val="00F554B6"/>
    <w:rsid w:val="00F57657"/>
    <w:rsid w:val="00F60D00"/>
    <w:rsid w:val="00F60E66"/>
    <w:rsid w:val="00F62F22"/>
    <w:rsid w:val="00F672AE"/>
    <w:rsid w:val="00F75054"/>
    <w:rsid w:val="00F7546B"/>
    <w:rsid w:val="00F755E2"/>
    <w:rsid w:val="00F858C4"/>
    <w:rsid w:val="00F93B94"/>
    <w:rsid w:val="00F970B5"/>
    <w:rsid w:val="00F97469"/>
    <w:rsid w:val="00FA1A49"/>
    <w:rsid w:val="00FC10C3"/>
    <w:rsid w:val="00FD3F27"/>
    <w:rsid w:val="00FD7758"/>
    <w:rsid w:val="00FE1EFB"/>
    <w:rsid w:val="00FE69CA"/>
    <w:rsid w:val="00FE7868"/>
    <w:rsid w:val="00FF1493"/>
    <w:rsid w:val="00FF3759"/>
    <w:rsid w:val="00FF7E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9DFED"/>
  <w14:defaultImageDpi w14:val="300"/>
  <w15:docId w15:val="{DADFC722-863B-45CE-9DFD-AED2BB49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784"/>
    <w:pPr>
      <w:ind w:left="720"/>
      <w:contextualSpacing/>
    </w:pPr>
  </w:style>
  <w:style w:type="character" w:styleId="Hyperlink">
    <w:name w:val="Hyperlink"/>
    <w:basedOn w:val="DefaultParagraphFont"/>
    <w:uiPriority w:val="99"/>
    <w:unhideWhenUsed/>
    <w:rsid w:val="000478A4"/>
    <w:rPr>
      <w:color w:val="0000FF" w:themeColor="hyperlink"/>
      <w:u w:val="single"/>
    </w:rPr>
  </w:style>
  <w:style w:type="table" w:customStyle="1" w:styleId="GridTable2-Accent11">
    <w:name w:val="Grid Table 2 - Accent 11"/>
    <w:basedOn w:val="TableNormal"/>
    <w:uiPriority w:val="47"/>
    <w:rsid w:val="006312ED"/>
    <w:rPr>
      <w:rFonts w:eastAsiaTheme="minorHAns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2826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65B"/>
    <w:rPr>
      <w:rFonts w:ascii="Lucida Grande" w:hAnsi="Lucida Grande" w:cs="Lucida Grande"/>
      <w:sz w:val="18"/>
      <w:szCs w:val="18"/>
    </w:rPr>
  </w:style>
  <w:style w:type="character" w:styleId="LineNumber">
    <w:name w:val="line number"/>
    <w:basedOn w:val="DefaultParagraphFont"/>
    <w:uiPriority w:val="99"/>
    <w:semiHidden/>
    <w:unhideWhenUsed/>
    <w:rsid w:val="00720444"/>
  </w:style>
  <w:style w:type="character" w:styleId="FollowedHyperlink">
    <w:name w:val="FollowedHyperlink"/>
    <w:basedOn w:val="DefaultParagraphFont"/>
    <w:uiPriority w:val="99"/>
    <w:semiHidden/>
    <w:unhideWhenUsed/>
    <w:rsid w:val="00D707CF"/>
    <w:rPr>
      <w:color w:val="800080" w:themeColor="followedHyperlink"/>
      <w:u w:val="single"/>
    </w:rPr>
  </w:style>
  <w:style w:type="paragraph" w:styleId="Header">
    <w:name w:val="header"/>
    <w:basedOn w:val="Normal"/>
    <w:link w:val="HeaderChar"/>
    <w:uiPriority w:val="99"/>
    <w:unhideWhenUsed/>
    <w:rsid w:val="00E67917"/>
    <w:pPr>
      <w:tabs>
        <w:tab w:val="center" w:pos="4320"/>
        <w:tab w:val="right" w:pos="8640"/>
      </w:tabs>
    </w:pPr>
  </w:style>
  <w:style w:type="character" w:customStyle="1" w:styleId="HeaderChar">
    <w:name w:val="Header Char"/>
    <w:basedOn w:val="DefaultParagraphFont"/>
    <w:link w:val="Header"/>
    <w:uiPriority w:val="99"/>
    <w:rsid w:val="00E67917"/>
  </w:style>
  <w:style w:type="paragraph" w:styleId="Footer">
    <w:name w:val="footer"/>
    <w:basedOn w:val="Normal"/>
    <w:link w:val="FooterChar"/>
    <w:uiPriority w:val="99"/>
    <w:unhideWhenUsed/>
    <w:rsid w:val="00E67917"/>
    <w:pPr>
      <w:tabs>
        <w:tab w:val="center" w:pos="4320"/>
        <w:tab w:val="right" w:pos="8640"/>
      </w:tabs>
    </w:pPr>
  </w:style>
  <w:style w:type="character" w:customStyle="1" w:styleId="FooterChar">
    <w:name w:val="Footer Char"/>
    <w:basedOn w:val="DefaultParagraphFont"/>
    <w:link w:val="Footer"/>
    <w:uiPriority w:val="99"/>
    <w:rsid w:val="00E67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485">
      <w:bodyDiv w:val="1"/>
      <w:marLeft w:val="0"/>
      <w:marRight w:val="0"/>
      <w:marTop w:val="0"/>
      <w:marBottom w:val="0"/>
      <w:divBdr>
        <w:top w:val="none" w:sz="0" w:space="0" w:color="auto"/>
        <w:left w:val="none" w:sz="0" w:space="0" w:color="auto"/>
        <w:bottom w:val="none" w:sz="0" w:space="0" w:color="auto"/>
        <w:right w:val="none" w:sz="0" w:space="0" w:color="auto"/>
      </w:divBdr>
      <w:divsChild>
        <w:div w:id="1078408739">
          <w:marLeft w:val="0"/>
          <w:marRight w:val="0"/>
          <w:marTop w:val="0"/>
          <w:marBottom w:val="0"/>
          <w:divBdr>
            <w:top w:val="none" w:sz="0" w:space="0" w:color="auto"/>
            <w:left w:val="none" w:sz="0" w:space="0" w:color="auto"/>
            <w:bottom w:val="none" w:sz="0" w:space="0" w:color="auto"/>
            <w:right w:val="none" w:sz="0" w:space="0" w:color="auto"/>
          </w:divBdr>
        </w:div>
      </w:divsChild>
    </w:div>
    <w:div w:id="99496277">
      <w:bodyDiv w:val="1"/>
      <w:marLeft w:val="0"/>
      <w:marRight w:val="0"/>
      <w:marTop w:val="0"/>
      <w:marBottom w:val="0"/>
      <w:divBdr>
        <w:top w:val="none" w:sz="0" w:space="0" w:color="auto"/>
        <w:left w:val="none" w:sz="0" w:space="0" w:color="auto"/>
        <w:bottom w:val="none" w:sz="0" w:space="0" w:color="auto"/>
        <w:right w:val="none" w:sz="0" w:space="0" w:color="auto"/>
      </w:divBdr>
    </w:div>
    <w:div w:id="121196931">
      <w:bodyDiv w:val="1"/>
      <w:marLeft w:val="0"/>
      <w:marRight w:val="0"/>
      <w:marTop w:val="0"/>
      <w:marBottom w:val="0"/>
      <w:divBdr>
        <w:top w:val="none" w:sz="0" w:space="0" w:color="auto"/>
        <w:left w:val="none" w:sz="0" w:space="0" w:color="auto"/>
        <w:bottom w:val="none" w:sz="0" w:space="0" w:color="auto"/>
        <w:right w:val="none" w:sz="0" w:space="0" w:color="auto"/>
      </w:divBdr>
    </w:div>
    <w:div w:id="127475346">
      <w:bodyDiv w:val="1"/>
      <w:marLeft w:val="0"/>
      <w:marRight w:val="0"/>
      <w:marTop w:val="0"/>
      <w:marBottom w:val="0"/>
      <w:divBdr>
        <w:top w:val="none" w:sz="0" w:space="0" w:color="auto"/>
        <w:left w:val="none" w:sz="0" w:space="0" w:color="auto"/>
        <w:bottom w:val="none" w:sz="0" w:space="0" w:color="auto"/>
        <w:right w:val="none" w:sz="0" w:space="0" w:color="auto"/>
      </w:divBdr>
      <w:divsChild>
        <w:div w:id="1373187826">
          <w:marLeft w:val="0"/>
          <w:marRight w:val="0"/>
          <w:marTop w:val="0"/>
          <w:marBottom w:val="0"/>
          <w:divBdr>
            <w:top w:val="none" w:sz="0" w:space="0" w:color="auto"/>
            <w:left w:val="none" w:sz="0" w:space="0" w:color="auto"/>
            <w:bottom w:val="none" w:sz="0" w:space="0" w:color="auto"/>
            <w:right w:val="none" w:sz="0" w:space="0" w:color="auto"/>
          </w:divBdr>
        </w:div>
      </w:divsChild>
    </w:div>
    <w:div w:id="162933224">
      <w:bodyDiv w:val="1"/>
      <w:marLeft w:val="0"/>
      <w:marRight w:val="0"/>
      <w:marTop w:val="0"/>
      <w:marBottom w:val="0"/>
      <w:divBdr>
        <w:top w:val="none" w:sz="0" w:space="0" w:color="auto"/>
        <w:left w:val="none" w:sz="0" w:space="0" w:color="auto"/>
        <w:bottom w:val="none" w:sz="0" w:space="0" w:color="auto"/>
        <w:right w:val="none" w:sz="0" w:space="0" w:color="auto"/>
      </w:divBdr>
      <w:divsChild>
        <w:div w:id="48650176">
          <w:marLeft w:val="0"/>
          <w:marRight w:val="0"/>
          <w:marTop w:val="0"/>
          <w:marBottom w:val="0"/>
          <w:divBdr>
            <w:top w:val="none" w:sz="0" w:space="0" w:color="auto"/>
            <w:left w:val="none" w:sz="0" w:space="0" w:color="auto"/>
            <w:bottom w:val="none" w:sz="0" w:space="0" w:color="auto"/>
            <w:right w:val="none" w:sz="0" w:space="0" w:color="auto"/>
          </w:divBdr>
        </w:div>
      </w:divsChild>
    </w:div>
    <w:div w:id="182596887">
      <w:bodyDiv w:val="1"/>
      <w:marLeft w:val="0"/>
      <w:marRight w:val="0"/>
      <w:marTop w:val="0"/>
      <w:marBottom w:val="0"/>
      <w:divBdr>
        <w:top w:val="none" w:sz="0" w:space="0" w:color="auto"/>
        <w:left w:val="none" w:sz="0" w:space="0" w:color="auto"/>
        <w:bottom w:val="none" w:sz="0" w:space="0" w:color="auto"/>
        <w:right w:val="none" w:sz="0" w:space="0" w:color="auto"/>
      </w:divBdr>
      <w:divsChild>
        <w:div w:id="1709990412">
          <w:marLeft w:val="0"/>
          <w:marRight w:val="0"/>
          <w:marTop w:val="0"/>
          <w:marBottom w:val="0"/>
          <w:divBdr>
            <w:top w:val="none" w:sz="0" w:space="0" w:color="auto"/>
            <w:left w:val="none" w:sz="0" w:space="0" w:color="auto"/>
            <w:bottom w:val="none" w:sz="0" w:space="0" w:color="auto"/>
            <w:right w:val="none" w:sz="0" w:space="0" w:color="auto"/>
          </w:divBdr>
        </w:div>
      </w:divsChild>
    </w:div>
    <w:div w:id="212817146">
      <w:bodyDiv w:val="1"/>
      <w:marLeft w:val="0"/>
      <w:marRight w:val="0"/>
      <w:marTop w:val="0"/>
      <w:marBottom w:val="0"/>
      <w:divBdr>
        <w:top w:val="none" w:sz="0" w:space="0" w:color="auto"/>
        <w:left w:val="none" w:sz="0" w:space="0" w:color="auto"/>
        <w:bottom w:val="none" w:sz="0" w:space="0" w:color="auto"/>
        <w:right w:val="none" w:sz="0" w:space="0" w:color="auto"/>
      </w:divBdr>
    </w:div>
    <w:div w:id="252010560">
      <w:bodyDiv w:val="1"/>
      <w:marLeft w:val="0"/>
      <w:marRight w:val="0"/>
      <w:marTop w:val="0"/>
      <w:marBottom w:val="0"/>
      <w:divBdr>
        <w:top w:val="none" w:sz="0" w:space="0" w:color="auto"/>
        <w:left w:val="none" w:sz="0" w:space="0" w:color="auto"/>
        <w:bottom w:val="none" w:sz="0" w:space="0" w:color="auto"/>
        <w:right w:val="none" w:sz="0" w:space="0" w:color="auto"/>
      </w:divBdr>
      <w:divsChild>
        <w:div w:id="1597598091">
          <w:marLeft w:val="0"/>
          <w:marRight w:val="0"/>
          <w:marTop w:val="0"/>
          <w:marBottom w:val="0"/>
          <w:divBdr>
            <w:top w:val="none" w:sz="0" w:space="0" w:color="auto"/>
            <w:left w:val="none" w:sz="0" w:space="0" w:color="auto"/>
            <w:bottom w:val="none" w:sz="0" w:space="0" w:color="auto"/>
            <w:right w:val="none" w:sz="0" w:space="0" w:color="auto"/>
          </w:divBdr>
        </w:div>
      </w:divsChild>
    </w:div>
    <w:div w:id="275479612">
      <w:bodyDiv w:val="1"/>
      <w:marLeft w:val="0"/>
      <w:marRight w:val="0"/>
      <w:marTop w:val="0"/>
      <w:marBottom w:val="0"/>
      <w:divBdr>
        <w:top w:val="none" w:sz="0" w:space="0" w:color="auto"/>
        <w:left w:val="none" w:sz="0" w:space="0" w:color="auto"/>
        <w:bottom w:val="none" w:sz="0" w:space="0" w:color="auto"/>
        <w:right w:val="none" w:sz="0" w:space="0" w:color="auto"/>
      </w:divBdr>
      <w:divsChild>
        <w:div w:id="501622227">
          <w:marLeft w:val="0"/>
          <w:marRight w:val="0"/>
          <w:marTop w:val="0"/>
          <w:marBottom w:val="0"/>
          <w:divBdr>
            <w:top w:val="none" w:sz="0" w:space="0" w:color="auto"/>
            <w:left w:val="none" w:sz="0" w:space="0" w:color="auto"/>
            <w:bottom w:val="none" w:sz="0" w:space="0" w:color="auto"/>
            <w:right w:val="none" w:sz="0" w:space="0" w:color="auto"/>
          </w:divBdr>
        </w:div>
      </w:divsChild>
    </w:div>
    <w:div w:id="285161803">
      <w:bodyDiv w:val="1"/>
      <w:marLeft w:val="0"/>
      <w:marRight w:val="0"/>
      <w:marTop w:val="0"/>
      <w:marBottom w:val="0"/>
      <w:divBdr>
        <w:top w:val="none" w:sz="0" w:space="0" w:color="auto"/>
        <w:left w:val="none" w:sz="0" w:space="0" w:color="auto"/>
        <w:bottom w:val="none" w:sz="0" w:space="0" w:color="auto"/>
        <w:right w:val="none" w:sz="0" w:space="0" w:color="auto"/>
      </w:divBdr>
      <w:divsChild>
        <w:div w:id="405495221">
          <w:marLeft w:val="0"/>
          <w:marRight w:val="0"/>
          <w:marTop w:val="0"/>
          <w:marBottom w:val="0"/>
          <w:divBdr>
            <w:top w:val="none" w:sz="0" w:space="0" w:color="auto"/>
            <w:left w:val="none" w:sz="0" w:space="0" w:color="auto"/>
            <w:bottom w:val="none" w:sz="0" w:space="0" w:color="auto"/>
            <w:right w:val="none" w:sz="0" w:space="0" w:color="auto"/>
          </w:divBdr>
        </w:div>
      </w:divsChild>
    </w:div>
    <w:div w:id="310914728">
      <w:bodyDiv w:val="1"/>
      <w:marLeft w:val="0"/>
      <w:marRight w:val="0"/>
      <w:marTop w:val="0"/>
      <w:marBottom w:val="0"/>
      <w:divBdr>
        <w:top w:val="none" w:sz="0" w:space="0" w:color="auto"/>
        <w:left w:val="none" w:sz="0" w:space="0" w:color="auto"/>
        <w:bottom w:val="none" w:sz="0" w:space="0" w:color="auto"/>
        <w:right w:val="none" w:sz="0" w:space="0" w:color="auto"/>
      </w:divBdr>
    </w:div>
    <w:div w:id="361709065">
      <w:bodyDiv w:val="1"/>
      <w:marLeft w:val="0"/>
      <w:marRight w:val="0"/>
      <w:marTop w:val="0"/>
      <w:marBottom w:val="0"/>
      <w:divBdr>
        <w:top w:val="none" w:sz="0" w:space="0" w:color="auto"/>
        <w:left w:val="none" w:sz="0" w:space="0" w:color="auto"/>
        <w:bottom w:val="none" w:sz="0" w:space="0" w:color="auto"/>
        <w:right w:val="none" w:sz="0" w:space="0" w:color="auto"/>
      </w:divBdr>
      <w:divsChild>
        <w:div w:id="5838059">
          <w:marLeft w:val="0"/>
          <w:marRight w:val="0"/>
          <w:marTop w:val="0"/>
          <w:marBottom w:val="0"/>
          <w:divBdr>
            <w:top w:val="none" w:sz="0" w:space="0" w:color="auto"/>
            <w:left w:val="none" w:sz="0" w:space="0" w:color="auto"/>
            <w:bottom w:val="none" w:sz="0" w:space="0" w:color="auto"/>
            <w:right w:val="none" w:sz="0" w:space="0" w:color="auto"/>
          </w:divBdr>
        </w:div>
      </w:divsChild>
    </w:div>
    <w:div w:id="386535437">
      <w:bodyDiv w:val="1"/>
      <w:marLeft w:val="0"/>
      <w:marRight w:val="0"/>
      <w:marTop w:val="0"/>
      <w:marBottom w:val="0"/>
      <w:divBdr>
        <w:top w:val="none" w:sz="0" w:space="0" w:color="auto"/>
        <w:left w:val="none" w:sz="0" w:space="0" w:color="auto"/>
        <w:bottom w:val="none" w:sz="0" w:space="0" w:color="auto"/>
        <w:right w:val="none" w:sz="0" w:space="0" w:color="auto"/>
      </w:divBdr>
    </w:div>
    <w:div w:id="392968761">
      <w:bodyDiv w:val="1"/>
      <w:marLeft w:val="0"/>
      <w:marRight w:val="0"/>
      <w:marTop w:val="0"/>
      <w:marBottom w:val="0"/>
      <w:divBdr>
        <w:top w:val="none" w:sz="0" w:space="0" w:color="auto"/>
        <w:left w:val="none" w:sz="0" w:space="0" w:color="auto"/>
        <w:bottom w:val="none" w:sz="0" w:space="0" w:color="auto"/>
        <w:right w:val="none" w:sz="0" w:space="0" w:color="auto"/>
      </w:divBdr>
    </w:div>
    <w:div w:id="481969886">
      <w:bodyDiv w:val="1"/>
      <w:marLeft w:val="0"/>
      <w:marRight w:val="0"/>
      <w:marTop w:val="0"/>
      <w:marBottom w:val="0"/>
      <w:divBdr>
        <w:top w:val="none" w:sz="0" w:space="0" w:color="auto"/>
        <w:left w:val="none" w:sz="0" w:space="0" w:color="auto"/>
        <w:bottom w:val="none" w:sz="0" w:space="0" w:color="auto"/>
        <w:right w:val="none" w:sz="0" w:space="0" w:color="auto"/>
      </w:divBdr>
    </w:div>
    <w:div w:id="504705102">
      <w:bodyDiv w:val="1"/>
      <w:marLeft w:val="0"/>
      <w:marRight w:val="0"/>
      <w:marTop w:val="0"/>
      <w:marBottom w:val="0"/>
      <w:divBdr>
        <w:top w:val="none" w:sz="0" w:space="0" w:color="auto"/>
        <w:left w:val="none" w:sz="0" w:space="0" w:color="auto"/>
        <w:bottom w:val="none" w:sz="0" w:space="0" w:color="auto"/>
        <w:right w:val="none" w:sz="0" w:space="0" w:color="auto"/>
      </w:divBdr>
      <w:divsChild>
        <w:div w:id="1018897628">
          <w:marLeft w:val="0"/>
          <w:marRight w:val="0"/>
          <w:marTop w:val="0"/>
          <w:marBottom w:val="0"/>
          <w:divBdr>
            <w:top w:val="none" w:sz="0" w:space="0" w:color="auto"/>
            <w:left w:val="none" w:sz="0" w:space="0" w:color="auto"/>
            <w:bottom w:val="none" w:sz="0" w:space="0" w:color="auto"/>
            <w:right w:val="none" w:sz="0" w:space="0" w:color="auto"/>
          </w:divBdr>
        </w:div>
      </w:divsChild>
    </w:div>
    <w:div w:id="511839312">
      <w:bodyDiv w:val="1"/>
      <w:marLeft w:val="0"/>
      <w:marRight w:val="0"/>
      <w:marTop w:val="0"/>
      <w:marBottom w:val="0"/>
      <w:divBdr>
        <w:top w:val="none" w:sz="0" w:space="0" w:color="auto"/>
        <w:left w:val="none" w:sz="0" w:space="0" w:color="auto"/>
        <w:bottom w:val="none" w:sz="0" w:space="0" w:color="auto"/>
        <w:right w:val="none" w:sz="0" w:space="0" w:color="auto"/>
      </w:divBdr>
      <w:divsChild>
        <w:div w:id="832839249">
          <w:marLeft w:val="0"/>
          <w:marRight w:val="0"/>
          <w:marTop w:val="0"/>
          <w:marBottom w:val="0"/>
          <w:divBdr>
            <w:top w:val="none" w:sz="0" w:space="0" w:color="auto"/>
            <w:left w:val="none" w:sz="0" w:space="0" w:color="auto"/>
            <w:bottom w:val="none" w:sz="0" w:space="0" w:color="auto"/>
            <w:right w:val="none" w:sz="0" w:space="0" w:color="auto"/>
          </w:divBdr>
        </w:div>
      </w:divsChild>
    </w:div>
    <w:div w:id="522209552">
      <w:bodyDiv w:val="1"/>
      <w:marLeft w:val="0"/>
      <w:marRight w:val="0"/>
      <w:marTop w:val="0"/>
      <w:marBottom w:val="0"/>
      <w:divBdr>
        <w:top w:val="none" w:sz="0" w:space="0" w:color="auto"/>
        <w:left w:val="none" w:sz="0" w:space="0" w:color="auto"/>
        <w:bottom w:val="none" w:sz="0" w:space="0" w:color="auto"/>
        <w:right w:val="none" w:sz="0" w:space="0" w:color="auto"/>
      </w:divBdr>
      <w:divsChild>
        <w:div w:id="1348942926">
          <w:marLeft w:val="0"/>
          <w:marRight w:val="0"/>
          <w:marTop w:val="0"/>
          <w:marBottom w:val="0"/>
          <w:divBdr>
            <w:top w:val="none" w:sz="0" w:space="0" w:color="auto"/>
            <w:left w:val="none" w:sz="0" w:space="0" w:color="auto"/>
            <w:bottom w:val="none" w:sz="0" w:space="0" w:color="auto"/>
            <w:right w:val="none" w:sz="0" w:space="0" w:color="auto"/>
          </w:divBdr>
        </w:div>
      </w:divsChild>
    </w:div>
    <w:div w:id="574239454">
      <w:bodyDiv w:val="1"/>
      <w:marLeft w:val="0"/>
      <w:marRight w:val="0"/>
      <w:marTop w:val="0"/>
      <w:marBottom w:val="0"/>
      <w:divBdr>
        <w:top w:val="none" w:sz="0" w:space="0" w:color="auto"/>
        <w:left w:val="none" w:sz="0" w:space="0" w:color="auto"/>
        <w:bottom w:val="none" w:sz="0" w:space="0" w:color="auto"/>
        <w:right w:val="none" w:sz="0" w:space="0" w:color="auto"/>
      </w:divBdr>
      <w:divsChild>
        <w:div w:id="2057006822">
          <w:marLeft w:val="0"/>
          <w:marRight w:val="0"/>
          <w:marTop w:val="0"/>
          <w:marBottom w:val="0"/>
          <w:divBdr>
            <w:top w:val="none" w:sz="0" w:space="0" w:color="auto"/>
            <w:left w:val="none" w:sz="0" w:space="0" w:color="auto"/>
            <w:bottom w:val="none" w:sz="0" w:space="0" w:color="auto"/>
            <w:right w:val="none" w:sz="0" w:space="0" w:color="auto"/>
          </w:divBdr>
        </w:div>
      </w:divsChild>
    </w:div>
    <w:div w:id="726876791">
      <w:bodyDiv w:val="1"/>
      <w:marLeft w:val="0"/>
      <w:marRight w:val="0"/>
      <w:marTop w:val="0"/>
      <w:marBottom w:val="0"/>
      <w:divBdr>
        <w:top w:val="none" w:sz="0" w:space="0" w:color="auto"/>
        <w:left w:val="none" w:sz="0" w:space="0" w:color="auto"/>
        <w:bottom w:val="none" w:sz="0" w:space="0" w:color="auto"/>
        <w:right w:val="none" w:sz="0" w:space="0" w:color="auto"/>
      </w:divBdr>
      <w:divsChild>
        <w:div w:id="1646006434">
          <w:marLeft w:val="0"/>
          <w:marRight w:val="0"/>
          <w:marTop w:val="0"/>
          <w:marBottom w:val="0"/>
          <w:divBdr>
            <w:top w:val="none" w:sz="0" w:space="0" w:color="auto"/>
            <w:left w:val="none" w:sz="0" w:space="0" w:color="auto"/>
            <w:bottom w:val="none" w:sz="0" w:space="0" w:color="auto"/>
            <w:right w:val="none" w:sz="0" w:space="0" w:color="auto"/>
          </w:divBdr>
        </w:div>
      </w:divsChild>
    </w:div>
    <w:div w:id="767240660">
      <w:bodyDiv w:val="1"/>
      <w:marLeft w:val="0"/>
      <w:marRight w:val="0"/>
      <w:marTop w:val="0"/>
      <w:marBottom w:val="0"/>
      <w:divBdr>
        <w:top w:val="none" w:sz="0" w:space="0" w:color="auto"/>
        <w:left w:val="none" w:sz="0" w:space="0" w:color="auto"/>
        <w:bottom w:val="none" w:sz="0" w:space="0" w:color="auto"/>
        <w:right w:val="none" w:sz="0" w:space="0" w:color="auto"/>
      </w:divBdr>
      <w:divsChild>
        <w:div w:id="2089187317">
          <w:marLeft w:val="0"/>
          <w:marRight w:val="0"/>
          <w:marTop w:val="0"/>
          <w:marBottom w:val="0"/>
          <w:divBdr>
            <w:top w:val="none" w:sz="0" w:space="0" w:color="auto"/>
            <w:left w:val="none" w:sz="0" w:space="0" w:color="auto"/>
            <w:bottom w:val="none" w:sz="0" w:space="0" w:color="auto"/>
            <w:right w:val="none" w:sz="0" w:space="0" w:color="auto"/>
          </w:divBdr>
        </w:div>
      </w:divsChild>
    </w:div>
    <w:div w:id="773785487">
      <w:bodyDiv w:val="1"/>
      <w:marLeft w:val="0"/>
      <w:marRight w:val="0"/>
      <w:marTop w:val="0"/>
      <w:marBottom w:val="0"/>
      <w:divBdr>
        <w:top w:val="none" w:sz="0" w:space="0" w:color="auto"/>
        <w:left w:val="none" w:sz="0" w:space="0" w:color="auto"/>
        <w:bottom w:val="none" w:sz="0" w:space="0" w:color="auto"/>
        <w:right w:val="none" w:sz="0" w:space="0" w:color="auto"/>
      </w:divBdr>
      <w:divsChild>
        <w:div w:id="270746807">
          <w:marLeft w:val="0"/>
          <w:marRight w:val="0"/>
          <w:marTop w:val="0"/>
          <w:marBottom w:val="0"/>
          <w:divBdr>
            <w:top w:val="none" w:sz="0" w:space="0" w:color="auto"/>
            <w:left w:val="none" w:sz="0" w:space="0" w:color="auto"/>
            <w:bottom w:val="none" w:sz="0" w:space="0" w:color="auto"/>
            <w:right w:val="none" w:sz="0" w:space="0" w:color="auto"/>
          </w:divBdr>
        </w:div>
      </w:divsChild>
    </w:div>
    <w:div w:id="804276717">
      <w:bodyDiv w:val="1"/>
      <w:marLeft w:val="0"/>
      <w:marRight w:val="0"/>
      <w:marTop w:val="0"/>
      <w:marBottom w:val="0"/>
      <w:divBdr>
        <w:top w:val="none" w:sz="0" w:space="0" w:color="auto"/>
        <w:left w:val="none" w:sz="0" w:space="0" w:color="auto"/>
        <w:bottom w:val="none" w:sz="0" w:space="0" w:color="auto"/>
        <w:right w:val="none" w:sz="0" w:space="0" w:color="auto"/>
      </w:divBdr>
      <w:divsChild>
        <w:div w:id="477306473">
          <w:marLeft w:val="0"/>
          <w:marRight w:val="0"/>
          <w:marTop w:val="0"/>
          <w:marBottom w:val="0"/>
          <w:divBdr>
            <w:top w:val="none" w:sz="0" w:space="0" w:color="auto"/>
            <w:left w:val="none" w:sz="0" w:space="0" w:color="auto"/>
            <w:bottom w:val="none" w:sz="0" w:space="0" w:color="auto"/>
            <w:right w:val="none" w:sz="0" w:space="0" w:color="auto"/>
          </w:divBdr>
        </w:div>
      </w:divsChild>
    </w:div>
    <w:div w:id="866912315">
      <w:bodyDiv w:val="1"/>
      <w:marLeft w:val="0"/>
      <w:marRight w:val="0"/>
      <w:marTop w:val="0"/>
      <w:marBottom w:val="0"/>
      <w:divBdr>
        <w:top w:val="none" w:sz="0" w:space="0" w:color="auto"/>
        <w:left w:val="none" w:sz="0" w:space="0" w:color="auto"/>
        <w:bottom w:val="none" w:sz="0" w:space="0" w:color="auto"/>
        <w:right w:val="none" w:sz="0" w:space="0" w:color="auto"/>
      </w:divBdr>
      <w:divsChild>
        <w:div w:id="644428101">
          <w:marLeft w:val="0"/>
          <w:marRight w:val="0"/>
          <w:marTop w:val="0"/>
          <w:marBottom w:val="0"/>
          <w:divBdr>
            <w:top w:val="none" w:sz="0" w:space="0" w:color="auto"/>
            <w:left w:val="none" w:sz="0" w:space="0" w:color="auto"/>
            <w:bottom w:val="none" w:sz="0" w:space="0" w:color="auto"/>
            <w:right w:val="none" w:sz="0" w:space="0" w:color="auto"/>
          </w:divBdr>
        </w:div>
      </w:divsChild>
    </w:div>
    <w:div w:id="899679501">
      <w:bodyDiv w:val="1"/>
      <w:marLeft w:val="0"/>
      <w:marRight w:val="0"/>
      <w:marTop w:val="0"/>
      <w:marBottom w:val="0"/>
      <w:divBdr>
        <w:top w:val="none" w:sz="0" w:space="0" w:color="auto"/>
        <w:left w:val="none" w:sz="0" w:space="0" w:color="auto"/>
        <w:bottom w:val="none" w:sz="0" w:space="0" w:color="auto"/>
        <w:right w:val="none" w:sz="0" w:space="0" w:color="auto"/>
      </w:divBdr>
      <w:divsChild>
        <w:div w:id="1812602003">
          <w:marLeft w:val="0"/>
          <w:marRight w:val="0"/>
          <w:marTop w:val="0"/>
          <w:marBottom w:val="0"/>
          <w:divBdr>
            <w:top w:val="none" w:sz="0" w:space="0" w:color="auto"/>
            <w:left w:val="none" w:sz="0" w:space="0" w:color="auto"/>
            <w:bottom w:val="none" w:sz="0" w:space="0" w:color="auto"/>
            <w:right w:val="none" w:sz="0" w:space="0" w:color="auto"/>
          </w:divBdr>
        </w:div>
      </w:divsChild>
    </w:div>
    <w:div w:id="945428807">
      <w:bodyDiv w:val="1"/>
      <w:marLeft w:val="0"/>
      <w:marRight w:val="0"/>
      <w:marTop w:val="0"/>
      <w:marBottom w:val="0"/>
      <w:divBdr>
        <w:top w:val="none" w:sz="0" w:space="0" w:color="auto"/>
        <w:left w:val="none" w:sz="0" w:space="0" w:color="auto"/>
        <w:bottom w:val="none" w:sz="0" w:space="0" w:color="auto"/>
        <w:right w:val="none" w:sz="0" w:space="0" w:color="auto"/>
      </w:divBdr>
      <w:divsChild>
        <w:div w:id="284385415">
          <w:marLeft w:val="0"/>
          <w:marRight w:val="0"/>
          <w:marTop w:val="0"/>
          <w:marBottom w:val="0"/>
          <w:divBdr>
            <w:top w:val="none" w:sz="0" w:space="0" w:color="auto"/>
            <w:left w:val="none" w:sz="0" w:space="0" w:color="auto"/>
            <w:bottom w:val="none" w:sz="0" w:space="0" w:color="auto"/>
            <w:right w:val="none" w:sz="0" w:space="0" w:color="auto"/>
          </w:divBdr>
        </w:div>
      </w:divsChild>
    </w:div>
    <w:div w:id="964695104">
      <w:bodyDiv w:val="1"/>
      <w:marLeft w:val="0"/>
      <w:marRight w:val="0"/>
      <w:marTop w:val="0"/>
      <w:marBottom w:val="0"/>
      <w:divBdr>
        <w:top w:val="none" w:sz="0" w:space="0" w:color="auto"/>
        <w:left w:val="none" w:sz="0" w:space="0" w:color="auto"/>
        <w:bottom w:val="none" w:sz="0" w:space="0" w:color="auto"/>
        <w:right w:val="none" w:sz="0" w:space="0" w:color="auto"/>
      </w:divBdr>
      <w:divsChild>
        <w:div w:id="666128348">
          <w:marLeft w:val="0"/>
          <w:marRight w:val="0"/>
          <w:marTop w:val="0"/>
          <w:marBottom w:val="0"/>
          <w:divBdr>
            <w:top w:val="none" w:sz="0" w:space="0" w:color="auto"/>
            <w:left w:val="none" w:sz="0" w:space="0" w:color="auto"/>
            <w:bottom w:val="none" w:sz="0" w:space="0" w:color="auto"/>
            <w:right w:val="none" w:sz="0" w:space="0" w:color="auto"/>
          </w:divBdr>
        </w:div>
      </w:divsChild>
    </w:div>
    <w:div w:id="1036540217">
      <w:bodyDiv w:val="1"/>
      <w:marLeft w:val="0"/>
      <w:marRight w:val="0"/>
      <w:marTop w:val="0"/>
      <w:marBottom w:val="0"/>
      <w:divBdr>
        <w:top w:val="none" w:sz="0" w:space="0" w:color="auto"/>
        <w:left w:val="none" w:sz="0" w:space="0" w:color="auto"/>
        <w:bottom w:val="none" w:sz="0" w:space="0" w:color="auto"/>
        <w:right w:val="none" w:sz="0" w:space="0" w:color="auto"/>
      </w:divBdr>
      <w:divsChild>
        <w:div w:id="1343968280">
          <w:marLeft w:val="0"/>
          <w:marRight w:val="0"/>
          <w:marTop w:val="0"/>
          <w:marBottom w:val="0"/>
          <w:divBdr>
            <w:top w:val="none" w:sz="0" w:space="0" w:color="auto"/>
            <w:left w:val="none" w:sz="0" w:space="0" w:color="auto"/>
            <w:bottom w:val="none" w:sz="0" w:space="0" w:color="auto"/>
            <w:right w:val="none" w:sz="0" w:space="0" w:color="auto"/>
          </w:divBdr>
        </w:div>
      </w:divsChild>
    </w:div>
    <w:div w:id="1129933947">
      <w:bodyDiv w:val="1"/>
      <w:marLeft w:val="0"/>
      <w:marRight w:val="0"/>
      <w:marTop w:val="0"/>
      <w:marBottom w:val="0"/>
      <w:divBdr>
        <w:top w:val="none" w:sz="0" w:space="0" w:color="auto"/>
        <w:left w:val="none" w:sz="0" w:space="0" w:color="auto"/>
        <w:bottom w:val="none" w:sz="0" w:space="0" w:color="auto"/>
        <w:right w:val="none" w:sz="0" w:space="0" w:color="auto"/>
      </w:divBdr>
      <w:divsChild>
        <w:div w:id="176844512">
          <w:marLeft w:val="0"/>
          <w:marRight w:val="0"/>
          <w:marTop w:val="0"/>
          <w:marBottom w:val="0"/>
          <w:divBdr>
            <w:top w:val="none" w:sz="0" w:space="0" w:color="auto"/>
            <w:left w:val="none" w:sz="0" w:space="0" w:color="auto"/>
            <w:bottom w:val="none" w:sz="0" w:space="0" w:color="auto"/>
            <w:right w:val="none" w:sz="0" w:space="0" w:color="auto"/>
          </w:divBdr>
        </w:div>
      </w:divsChild>
    </w:div>
    <w:div w:id="1138760602">
      <w:bodyDiv w:val="1"/>
      <w:marLeft w:val="0"/>
      <w:marRight w:val="0"/>
      <w:marTop w:val="0"/>
      <w:marBottom w:val="0"/>
      <w:divBdr>
        <w:top w:val="none" w:sz="0" w:space="0" w:color="auto"/>
        <w:left w:val="none" w:sz="0" w:space="0" w:color="auto"/>
        <w:bottom w:val="none" w:sz="0" w:space="0" w:color="auto"/>
        <w:right w:val="none" w:sz="0" w:space="0" w:color="auto"/>
      </w:divBdr>
      <w:divsChild>
        <w:div w:id="73672285">
          <w:marLeft w:val="0"/>
          <w:marRight w:val="0"/>
          <w:marTop w:val="0"/>
          <w:marBottom w:val="0"/>
          <w:divBdr>
            <w:top w:val="none" w:sz="0" w:space="0" w:color="auto"/>
            <w:left w:val="none" w:sz="0" w:space="0" w:color="auto"/>
            <w:bottom w:val="none" w:sz="0" w:space="0" w:color="auto"/>
            <w:right w:val="none" w:sz="0" w:space="0" w:color="auto"/>
          </w:divBdr>
        </w:div>
      </w:divsChild>
    </w:div>
    <w:div w:id="1244073450">
      <w:bodyDiv w:val="1"/>
      <w:marLeft w:val="0"/>
      <w:marRight w:val="0"/>
      <w:marTop w:val="0"/>
      <w:marBottom w:val="0"/>
      <w:divBdr>
        <w:top w:val="none" w:sz="0" w:space="0" w:color="auto"/>
        <w:left w:val="none" w:sz="0" w:space="0" w:color="auto"/>
        <w:bottom w:val="none" w:sz="0" w:space="0" w:color="auto"/>
        <w:right w:val="none" w:sz="0" w:space="0" w:color="auto"/>
      </w:divBdr>
      <w:divsChild>
        <w:div w:id="685710013">
          <w:marLeft w:val="0"/>
          <w:marRight w:val="0"/>
          <w:marTop w:val="0"/>
          <w:marBottom w:val="0"/>
          <w:divBdr>
            <w:top w:val="none" w:sz="0" w:space="0" w:color="auto"/>
            <w:left w:val="none" w:sz="0" w:space="0" w:color="auto"/>
            <w:bottom w:val="none" w:sz="0" w:space="0" w:color="auto"/>
            <w:right w:val="none" w:sz="0" w:space="0" w:color="auto"/>
          </w:divBdr>
        </w:div>
      </w:divsChild>
    </w:div>
    <w:div w:id="1275988749">
      <w:bodyDiv w:val="1"/>
      <w:marLeft w:val="0"/>
      <w:marRight w:val="0"/>
      <w:marTop w:val="0"/>
      <w:marBottom w:val="0"/>
      <w:divBdr>
        <w:top w:val="none" w:sz="0" w:space="0" w:color="auto"/>
        <w:left w:val="none" w:sz="0" w:space="0" w:color="auto"/>
        <w:bottom w:val="none" w:sz="0" w:space="0" w:color="auto"/>
        <w:right w:val="none" w:sz="0" w:space="0" w:color="auto"/>
      </w:divBdr>
      <w:divsChild>
        <w:div w:id="1607931721">
          <w:marLeft w:val="0"/>
          <w:marRight w:val="0"/>
          <w:marTop w:val="0"/>
          <w:marBottom w:val="0"/>
          <w:divBdr>
            <w:top w:val="none" w:sz="0" w:space="0" w:color="auto"/>
            <w:left w:val="none" w:sz="0" w:space="0" w:color="auto"/>
            <w:bottom w:val="none" w:sz="0" w:space="0" w:color="auto"/>
            <w:right w:val="none" w:sz="0" w:space="0" w:color="auto"/>
          </w:divBdr>
        </w:div>
      </w:divsChild>
    </w:div>
    <w:div w:id="1301231410">
      <w:bodyDiv w:val="1"/>
      <w:marLeft w:val="0"/>
      <w:marRight w:val="0"/>
      <w:marTop w:val="0"/>
      <w:marBottom w:val="0"/>
      <w:divBdr>
        <w:top w:val="none" w:sz="0" w:space="0" w:color="auto"/>
        <w:left w:val="none" w:sz="0" w:space="0" w:color="auto"/>
        <w:bottom w:val="none" w:sz="0" w:space="0" w:color="auto"/>
        <w:right w:val="none" w:sz="0" w:space="0" w:color="auto"/>
      </w:divBdr>
    </w:div>
    <w:div w:id="1308824393">
      <w:bodyDiv w:val="1"/>
      <w:marLeft w:val="0"/>
      <w:marRight w:val="0"/>
      <w:marTop w:val="0"/>
      <w:marBottom w:val="0"/>
      <w:divBdr>
        <w:top w:val="none" w:sz="0" w:space="0" w:color="auto"/>
        <w:left w:val="none" w:sz="0" w:space="0" w:color="auto"/>
        <w:bottom w:val="none" w:sz="0" w:space="0" w:color="auto"/>
        <w:right w:val="none" w:sz="0" w:space="0" w:color="auto"/>
      </w:divBdr>
      <w:divsChild>
        <w:div w:id="285891175">
          <w:marLeft w:val="0"/>
          <w:marRight w:val="0"/>
          <w:marTop w:val="0"/>
          <w:marBottom w:val="0"/>
          <w:divBdr>
            <w:top w:val="none" w:sz="0" w:space="0" w:color="auto"/>
            <w:left w:val="none" w:sz="0" w:space="0" w:color="auto"/>
            <w:bottom w:val="none" w:sz="0" w:space="0" w:color="auto"/>
            <w:right w:val="none" w:sz="0" w:space="0" w:color="auto"/>
          </w:divBdr>
        </w:div>
      </w:divsChild>
    </w:div>
    <w:div w:id="1323466455">
      <w:bodyDiv w:val="1"/>
      <w:marLeft w:val="0"/>
      <w:marRight w:val="0"/>
      <w:marTop w:val="0"/>
      <w:marBottom w:val="0"/>
      <w:divBdr>
        <w:top w:val="none" w:sz="0" w:space="0" w:color="auto"/>
        <w:left w:val="none" w:sz="0" w:space="0" w:color="auto"/>
        <w:bottom w:val="none" w:sz="0" w:space="0" w:color="auto"/>
        <w:right w:val="none" w:sz="0" w:space="0" w:color="auto"/>
      </w:divBdr>
      <w:divsChild>
        <w:div w:id="1269315860">
          <w:marLeft w:val="0"/>
          <w:marRight w:val="0"/>
          <w:marTop w:val="0"/>
          <w:marBottom w:val="0"/>
          <w:divBdr>
            <w:top w:val="none" w:sz="0" w:space="0" w:color="auto"/>
            <w:left w:val="none" w:sz="0" w:space="0" w:color="auto"/>
            <w:bottom w:val="none" w:sz="0" w:space="0" w:color="auto"/>
            <w:right w:val="none" w:sz="0" w:space="0" w:color="auto"/>
          </w:divBdr>
        </w:div>
      </w:divsChild>
    </w:div>
    <w:div w:id="1422943777">
      <w:bodyDiv w:val="1"/>
      <w:marLeft w:val="0"/>
      <w:marRight w:val="0"/>
      <w:marTop w:val="0"/>
      <w:marBottom w:val="0"/>
      <w:divBdr>
        <w:top w:val="none" w:sz="0" w:space="0" w:color="auto"/>
        <w:left w:val="none" w:sz="0" w:space="0" w:color="auto"/>
        <w:bottom w:val="none" w:sz="0" w:space="0" w:color="auto"/>
        <w:right w:val="none" w:sz="0" w:space="0" w:color="auto"/>
      </w:divBdr>
      <w:divsChild>
        <w:div w:id="645820760">
          <w:marLeft w:val="0"/>
          <w:marRight w:val="0"/>
          <w:marTop w:val="0"/>
          <w:marBottom w:val="0"/>
          <w:divBdr>
            <w:top w:val="none" w:sz="0" w:space="0" w:color="auto"/>
            <w:left w:val="none" w:sz="0" w:space="0" w:color="auto"/>
            <w:bottom w:val="none" w:sz="0" w:space="0" w:color="auto"/>
            <w:right w:val="none" w:sz="0" w:space="0" w:color="auto"/>
          </w:divBdr>
        </w:div>
      </w:divsChild>
    </w:div>
    <w:div w:id="1492285651">
      <w:bodyDiv w:val="1"/>
      <w:marLeft w:val="0"/>
      <w:marRight w:val="0"/>
      <w:marTop w:val="0"/>
      <w:marBottom w:val="0"/>
      <w:divBdr>
        <w:top w:val="none" w:sz="0" w:space="0" w:color="auto"/>
        <w:left w:val="none" w:sz="0" w:space="0" w:color="auto"/>
        <w:bottom w:val="none" w:sz="0" w:space="0" w:color="auto"/>
        <w:right w:val="none" w:sz="0" w:space="0" w:color="auto"/>
      </w:divBdr>
    </w:div>
    <w:div w:id="1498299188">
      <w:bodyDiv w:val="1"/>
      <w:marLeft w:val="0"/>
      <w:marRight w:val="0"/>
      <w:marTop w:val="0"/>
      <w:marBottom w:val="0"/>
      <w:divBdr>
        <w:top w:val="none" w:sz="0" w:space="0" w:color="auto"/>
        <w:left w:val="none" w:sz="0" w:space="0" w:color="auto"/>
        <w:bottom w:val="none" w:sz="0" w:space="0" w:color="auto"/>
        <w:right w:val="none" w:sz="0" w:space="0" w:color="auto"/>
      </w:divBdr>
    </w:div>
    <w:div w:id="1506556273">
      <w:bodyDiv w:val="1"/>
      <w:marLeft w:val="0"/>
      <w:marRight w:val="0"/>
      <w:marTop w:val="0"/>
      <w:marBottom w:val="0"/>
      <w:divBdr>
        <w:top w:val="none" w:sz="0" w:space="0" w:color="auto"/>
        <w:left w:val="none" w:sz="0" w:space="0" w:color="auto"/>
        <w:bottom w:val="none" w:sz="0" w:space="0" w:color="auto"/>
        <w:right w:val="none" w:sz="0" w:space="0" w:color="auto"/>
      </w:divBdr>
      <w:divsChild>
        <w:div w:id="1288269153">
          <w:marLeft w:val="0"/>
          <w:marRight w:val="0"/>
          <w:marTop w:val="0"/>
          <w:marBottom w:val="0"/>
          <w:divBdr>
            <w:top w:val="none" w:sz="0" w:space="0" w:color="auto"/>
            <w:left w:val="none" w:sz="0" w:space="0" w:color="auto"/>
            <w:bottom w:val="none" w:sz="0" w:space="0" w:color="auto"/>
            <w:right w:val="none" w:sz="0" w:space="0" w:color="auto"/>
          </w:divBdr>
        </w:div>
      </w:divsChild>
    </w:div>
    <w:div w:id="1526749753">
      <w:bodyDiv w:val="1"/>
      <w:marLeft w:val="0"/>
      <w:marRight w:val="0"/>
      <w:marTop w:val="0"/>
      <w:marBottom w:val="0"/>
      <w:divBdr>
        <w:top w:val="none" w:sz="0" w:space="0" w:color="auto"/>
        <w:left w:val="none" w:sz="0" w:space="0" w:color="auto"/>
        <w:bottom w:val="none" w:sz="0" w:space="0" w:color="auto"/>
        <w:right w:val="none" w:sz="0" w:space="0" w:color="auto"/>
      </w:divBdr>
      <w:divsChild>
        <w:div w:id="875120817">
          <w:marLeft w:val="0"/>
          <w:marRight w:val="0"/>
          <w:marTop w:val="0"/>
          <w:marBottom w:val="0"/>
          <w:divBdr>
            <w:top w:val="none" w:sz="0" w:space="0" w:color="auto"/>
            <w:left w:val="none" w:sz="0" w:space="0" w:color="auto"/>
            <w:bottom w:val="none" w:sz="0" w:space="0" w:color="auto"/>
            <w:right w:val="none" w:sz="0" w:space="0" w:color="auto"/>
          </w:divBdr>
        </w:div>
      </w:divsChild>
    </w:div>
    <w:div w:id="1529298234">
      <w:bodyDiv w:val="1"/>
      <w:marLeft w:val="0"/>
      <w:marRight w:val="0"/>
      <w:marTop w:val="0"/>
      <w:marBottom w:val="0"/>
      <w:divBdr>
        <w:top w:val="none" w:sz="0" w:space="0" w:color="auto"/>
        <w:left w:val="none" w:sz="0" w:space="0" w:color="auto"/>
        <w:bottom w:val="none" w:sz="0" w:space="0" w:color="auto"/>
        <w:right w:val="none" w:sz="0" w:space="0" w:color="auto"/>
      </w:divBdr>
      <w:divsChild>
        <w:div w:id="785272456">
          <w:marLeft w:val="0"/>
          <w:marRight w:val="0"/>
          <w:marTop w:val="0"/>
          <w:marBottom w:val="0"/>
          <w:divBdr>
            <w:top w:val="none" w:sz="0" w:space="0" w:color="auto"/>
            <w:left w:val="none" w:sz="0" w:space="0" w:color="auto"/>
            <w:bottom w:val="none" w:sz="0" w:space="0" w:color="auto"/>
            <w:right w:val="none" w:sz="0" w:space="0" w:color="auto"/>
          </w:divBdr>
        </w:div>
      </w:divsChild>
    </w:div>
    <w:div w:id="1646272073">
      <w:bodyDiv w:val="1"/>
      <w:marLeft w:val="0"/>
      <w:marRight w:val="0"/>
      <w:marTop w:val="0"/>
      <w:marBottom w:val="0"/>
      <w:divBdr>
        <w:top w:val="none" w:sz="0" w:space="0" w:color="auto"/>
        <w:left w:val="none" w:sz="0" w:space="0" w:color="auto"/>
        <w:bottom w:val="none" w:sz="0" w:space="0" w:color="auto"/>
        <w:right w:val="none" w:sz="0" w:space="0" w:color="auto"/>
      </w:divBdr>
      <w:divsChild>
        <w:div w:id="496920089">
          <w:marLeft w:val="0"/>
          <w:marRight w:val="0"/>
          <w:marTop w:val="0"/>
          <w:marBottom w:val="0"/>
          <w:divBdr>
            <w:top w:val="none" w:sz="0" w:space="0" w:color="auto"/>
            <w:left w:val="none" w:sz="0" w:space="0" w:color="auto"/>
            <w:bottom w:val="none" w:sz="0" w:space="0" w:color="auto"/>
            <w:right w:val="none" w:sz="0" w:space="0" w:color="auto"/>
          </w:divBdr>
        </w:div>
      </w:divsChild>
    </w:div>
    <w:div w:id="1685353645">
      <w:bodyDiv w:val="1"/>
      <w:marLeft w:val="0"/>
      <w:marRight w:val="0"/>
      <w:marTop w:val="0"/>
      <w:marBottom w:val="0"/>
      <w:divBdr>
        <w:top w:val="none" w:sz="0" w:space="0" w:color="auto"/>
        <w:left w:val="none" w:sz="0" w:space="0" w:color="auto"/>
        <w:bottom w:val="none" w:sz="0" w:space="0" w:color="auto"/>
        <w:right w:val="none" w:sz="0" w:space="0" w:color="auto"/>
      </w:divBdr>
      <w:divsChild>
        <w:div w:id="459342787">
          <w:marLeft w:val="0"/>
          <w:marRight w:val="0"/>
          <w:marTop w:val="0"/>
          <w:marBottom w:val="0"/>
          <w:divBdr>
            <w:top w:val="none" w:sz="0" w:space="0" w:color="auto"/>
            <w:left w:val="none" w:sz="0" w:space="0" w:color="auto"/>
            <w:bottom w:val="none" w:sz="0" w:space="0" w:color="auto"/>
            <w:right w:val="none" w:sz="0" w:space="0" w:color="auto"/>
          </w:divBdr>
        </w:div>
      </w:divsChild>
    </w:div>
    <w:div w:id="1733964001">
      <w:bodyDiv w:val="1"/>
      <w:marLeft w:val="0"/>
      <w:marRight w:val="0"/>
      <w:marTop w:val="0"/>
      <w:marBottom w:val="0"/>
      <w:divBdr>
        <w:top w:val="none" w:sz="0" w:space="0" w:color="auto"/>
        <w:left w:val="none" w:sz="0" w:space="0" w:color="auto"/>
        <w:bottom w:val="none" w:sz="0" w:space="0" w:color="auto"/>
        <w:right w:val="none" w:sz="0" w:space="0" w:color="auto"/>
      </w:divBdr>
      <w:divsChild>
        <w:div w:id="1529951335">
          <w:marLeft w:val="0"/>
          <w:marRight w:val="0"/>
          <w:marTop w:val="0"/>
          <w:marBottom w:val="0"/>
          <w:divBdr>
            <w:top w:val="none" w:sz="0" w:space="0" w:color="auto"/>
            <w:left w:val="none" w:sz="0" w:space="0" w:color="auto"/>
            <w:bottom w:val="none" w:sz="0" w:space="0" w:color="auto"/>
            <w:right w:val="none" w:sz="0" w:space="0" w:color="auto"/>
          </w:divBdr>
        </w:div>
      </w:divsChild>
    </w:div>
    <w:div w:id="1738434436">
      <w:bodyDiv w:val="1"/>
      <w:marLeft w:val="0"/>
      <w:marRight w:val="0"/>
      <w:marTop w:val="0"/>
      <w:marBottom w:val="0"/>
      <w:divBdr>
        <w:top w:val="none" w:sz="0" w:space="0" w:color="auto"/>
        <w:left w:val="none" w:sz="0" w:space="0" w:color="auto"/>
        <w:bottom w:val="none" w:sz="0" w:space="0" w:color="auto"/>
        <w:right w:val="none" w:sz="0" w:space="0" w:color="auto"/>
      </w:divBdr>
      <w:divsChild>
        <w:div w:id="2102483423">
          <w:marLeft w:val="0"/>
          <w:marRight w:val="0"/>
          <w:marTop w:val="0"/>
          <w:marBottom w:val="0"/>
          <w:divBdr>
            <w:top w:val="none" w:sz="0" w:space="0" w:color="auto"/>
            <w:left w:val="none" w:sz="0" w:space="0" w:color="auto"/>
            <w:bottom w:val="none" w:sz="0" w:space="0" w:color="auto"/>
            <w:right w:val="none" w:sz="0" w:space="0" w:color="auto"/>
          </w:divBdr>
        </w:div>
      </w:divsChild>
    </w:div>
    <w:div w:id="1766223813">
      <w:bodyDiv w:val="1"/>
      <w:marLeft w:val="0"/>
      <w:marRight w:val="0"/>
      <w:marTop w:val="0"/>
      <w:marBottom w:val="0"/>
      <w:divBdr>
        <w:top w:val="none" w:sz="0" w:space="0" w:color="auto"/>
        <w:left w:val="none" w:sz="0" w:space="0" w:color="auto"/>
        <w:bottom w:val="none" w:sz="0" w:space="0" w:color="auto"/>
        <w:right w:val="none" w:sz="0" w:space="0" w:color="auto"/>
      </w:divBdr>
      <w:divsChild>
        <w:div w:id="261912056">
          <w:marLeft w:val="0"/>
          <w:marRight w:val="0"/>
          <w:marTop w:val="0"/>
          <w:marBottom w:val="0"/>
          <w:divBdr>
            <w:top w:val="none" w:sz="0" w:space="0" w:color="auto"/>
            <w:left w:val="none" w:sz="0" w:space="0" w:color="auto"/>
            <w:bottom w:val="none" w:sz="0" w:space="0" w:color="auto"/>
            <w:right w:val="none" w:sz="0" w:space="0" w:color="auto"/>
          </w:divBdr>
        </w:div>
      </w:divsChild>
    </w:div>
    <w:div w:id="1770153322">
      <w:bodyDiv w:val="1"/>
      <w:marLeft w:val="0"/>
      <w:marRight w:val="0"/>
      <w:marTop w:val="0"/>
      <w:marBottom w:val="0"/>
      <w:divBdr>
        <w:top w:val="none" w:sz="0" w:space="0" w:color="auto"/>
        <w:left w:val="none" w:sz="0" w:space="0" w:color="auto"/>
        <w:bottom w:val="none" w:sz="0" w:space="0" w:color="auto"/>
        <w:right w:val="none" w:sz="0" w:space="0" w:color="auto"/>
      </w:divBdr>
      <w:divsChild>
        <w:div w:id="1740247848">
          <w:marLeft w:val="0"/>
          <w:marRight w:val="0"/>
          <w:marTop w:val="0"/>
          <w:marBottom w:val="0"/>
          <w:divBdr>
            <w:top w:val="none" w:sz="0" w:space="0" w:color="auto"/>
            <w:left w:val="none" w:sz="0" w:space="0" w:color="auto"/>
            <w:bottom w:val="none" w:sz="0" w:space="0" w:color="auto"/>
            <w:right w:val="none" w:sz="0" w:space="0" w:color="auto"/>
          </w:divBdr>
        </w:div>
      </w:divsChild>
    </w:div>
    <w:div w:id="1906137583">
      <w:bodyDiv w:val="1"/>
      <w:marLeft w:val="0"/>
      <w:marRight w:val="0"/>
      <w:marTop w:val="0"/>
      <w:marBottom w:val="0"/>
      <w:divBdr>
        <w:top w:val="none" w:sz="0" w:space="0" w:color="auto"/>
        <w:left w:val="none" w:sz="0" w:space="0" w:color="auto"/>
        <w:bottom w:val="none" w:sz="0" w:space="0" w:color="auto"/>
        <w:right w:val="none" w:sz="0" w:space="0" w:color="auto"/>
      </w:divBdr>
      <w:divsChild>
        <w:div w:id="2057968435">
          <w:marLeft w:val="0"/>
          <w:marRight w:val="0"/>
          <w:marTop w:val="0"/>
          <w:marBottom w:val="0"/>
          <w:divBdr>
            <w:top w:val="none" w:sz="0" w:space="0" w:color="auto"/>
            <w:left w:val="none" w:sz="0" w:space="0" w:color="auto"/>
            <w:bottom w:val="none" w:sz="0" w:space="0" w:color="auto"/>
            <w:right w:val="none" w:sz="0" w:space="0" w:color="auto"/>
          </w:divBdr>
        </w:div>
      </w:divsChild>
    </w:div>
    <w:div w:id="1913467413">
      <w:bodyDiv w:val="1"/>
      <w:marLeft w:val="0"/>
      <w:marRight w:val="0"/>
      <w:marTop w:val="0"/>
      <w:marBottom w:val="0"/>
      <w:divBdr>
        <w:top w:val="none" w:sz="0" w:space="0" w:color="auto"/>
        <w:left w:val="none" w:sz="0" w:space="0" w:color="auto"/>
        <w:bottom w:val="none" w:sz="0" w:space="0" w:color="auto"/>
        <w:right w:val="none" w:sz="0" w:space="0" w:color="auto"/>
      </w:divBdr>
      <w:divsChild>
        <w:div w:id="1494711675">
          <w:marLeft w:val="0"/>
          <w:marRight w:val="0"/>
          <w:marTop w:val="0"/>
          <w:marBottom w:val="0"/>
          <w:divBdr>
            <w:top w:val="none" w:sz="0" w:space="0" w:color="auto"/>
            <w:left w:val="none" w:sz="0" w:space="0" w:color="auto"/>
            <w:bottom w:val="none" w:sz="0" w:space="0" w:color="auto"/>
            <w:right w:val="none" w:sz="0" w:space="0" w:color="auto"/>
          </w:divBdr>
        </w:div>
      </w:divsChild>
    </w:div>
    <w:div w:id="1942301031">
      <w:bodyDiv w:val="1"/>
      <w:marLeft w:val="0"/>
      <w:marRight w:val="0"/>
      <w:marTop w:val="0"/>
      <w:marBottom w:val="0"/>
      <w:divBdr>
        <w:top w:val="none" w:sz="0" w:space="0" w:color="auto"/>
        <w:left w:val="none" w:sz="0" w:space="0" w:color="auto"/>
        <w:bottom w:val="none" w:sz="0" w:space="0" w:color="auto"/>
        <w:right w:val="none" w:sz="0" w:space="0" w:color="auto"/>
      </w:divBdr>
      <w:divsChild>
        <w:div w:id="1892230116">
          <w:marLeft w:val="0"/>
          <w:marRight w:val="0"/>
          <w:marTop w:val="0"/>
          <w:marBottom w:val="0"/>
          <w:divBdr>
            <w:top w:val="none" w:sz="0" w:space="0" w:color="auto"/>
            <w:left w:val="none" w:sz="0" w:space="0" w:color="auto"/>
            <w:bottom w:val="none" w:sz="0" w:space="0" w:color="auto"/>
            <w:right w:val="none" w:sz="0" w:space="0" w:color="auto"/>
          </w:divBdr>
        </w:div>
      </w:divsChild>
    </w:div>
    <w:div w:id="2000768177">
      <w:bodyDiv w:val="1"/>
      <w:marLeft w:val="0"/>
      <w:marRight w:val="0"/>
      <w:marTop w:val="0"/>
      <w:marBottom w:val="0"/>
      <w:divBdr>
        <w:top w:val="none" w:sz="0" w:space="0" w:color="auto"/>
        <w:left w:val="none" w:sz="0" w:space="0" w:color="auto"/>
        <w:bottom w:val="none" w:sz="0" w:space="0" w:color="auto"/>
        <w:right w:val="none" w:sz="0" w:space="0" w:color="auto"/>
      </w:divBdr>
    </w:div>
    <w:div w:id="2045209955">
      <w:bodyDiv w:val="1"/>
      <w:marLeft w:val="0"/>
      <w:marRight w:val="0"/>
      <w:marTop w:val="0"/>
      <w:marBottom w:val="0"/>
      <w:divBdr>
        <w:top w:val="none" w:sz="0" w:space="0" w:color="auto"/>
        <w:left w:val="none" w:sz="0" w:space="0" w:color="auto"/>
        <w:bottom w:val="none" w:sz="0" w:space="0" w:color="auto"/>
        <w:right w:val="none" w:sz="0" w:space="0" w:color="auto"/>
      </w:divBdr>
      <w:divsChild>
        <w:div w:id="1595213007">
          <w:marLeft w:val="0"/>
          <w:marRight w:val="0"/>
          <w:marTop w:val="0"/>
          <w:marBottom w:val="0"/>
          <w:divBdr>
            <w:top w:val="none" w:sz="0" w:space="0" w:color="auto"/>
            <w:left w:val="none" w:sz="0" w:space="0" w:color="auto"/>
            <w:bottom w:val="none" w:sz="0" w:space="0" w:color="auto"/>
            <w:right w:val="none" w:sz="0" w:space="0" w:color="auto"/>
          </w:divBdr>
        </w:div>
      </w:divsChild>
    </w:div>
    <w:div w:id="2093499863">
      <w:bodyDiv w:val="1"/>
      <w:marLeft w:val="0"/>
      <w:marRight w:val="0"/>
      <w:marTop w:val="0"/>
      <w:marBottom w:val="0"/>
      <w:divBdr>
        <w:top w:val="none" w:sz="0" w:space="0" w:color="auto"/>
        <w:left w:val="none" w:sz="0" w:space="0" w:color="auto"/>
        <w:bottom w:val="none" w:sz="0" w:space="0" w:color="auto"/>
        <w:right w:val="none" w:sz="0" w:space="0" w:color="auto"/>
      </w:divBdr>
      <w:divsChild>
        <w:div w:id="229509861">
          <w:marLeft w:val="0"/>
          <w:marRight w:val="0"/>
          <w:marTop w:val="0"/>
          <w:marBottom w:val="0"/>
          <w:divBdr>
            <w:top w:val="none" w:sz="0" w:space="0" w:color="auto"/>
            <w:left w:val="none" w:sz="0" w:space="0" w:color="auto"/>
            <w:bottom w:val="none" w:sz="0" w:space="0" w:color="auto"/>
            <w:right w:val="none" w:sz="0" w:space="0" w:color="auto"/>
          </w:divBdr>
        </w:div>
      </w:divsChild>
    </w:div>
    <w:div w:id="2125923683">
      <w:bodyDiv w:val="1"/>
      <w:marLeft w:val="0"/>
      <w:marRight w:val="0"/>
      <w:marTop w:val="0"/>
      <w:marBottom w:val="0"/>
      <w:divBdr>
        <w:top w:val="none" w:sz="0" w:space="0" w:color="auto"/>
        <w:left w:val="none" w:sz="0" w:space="0" w:color="auto"/>
        <w:bottom w:val="none" w:sz="0" w:space="0" w:color="auto"/>
        <w:right w:val="none" w:sz="0" w:space="0" w:color="auto"/>
      </w:divBdr>
    </w:div>
    <w:div w:id="2127767727">
      <w:bodyDiv w:val="1"/>
      <w:marLeft w:val="0"/>
      <w:marRight w:val="0"/>
      <w:marTop w:val="0"/>
      <w:marBottom w:val="0"/>
      <w:divBdr>
        <w:top w:val="none" w:sz="0" w:space="0" w:color="auto"/>
        <w:left w:val="none" w:sz="0" w:space="0" w:color="auto"/>
        <w:bottom w:val="none" w:sz="0" w:space="0" w:color="auto"/>
        <w:right w:val="none" w:sz="0" w:space="0" w:color="auto"/>
      </w:divBdr>
      <w:divsChild>
        <w:div w:id="1853375372">
          <w:marLeft w:val="0"/>
          <w:marRight w:val="0"/>
          <w:marTop w:val="0"/>
          <w:marBottom w:val="0"/>
          <w:divBdr>
            <w:top w:val="none" w:sz="0" w:space="0" w:color="auto"/>
            <w:left w:val="none" w:sz="0" w:space="0" w:color="auto"/>
            <w:bottom w:val="none" w:sz="0" w:space="0" w:color="auto"/>
            <w:right w:val="none" w:sz="0" w:space="0" w:color="auto"/>
          </w:divBdr>
        </w:div>
      </w:divsChild>
    </w:div>
    <w:div w:id="2135102585">
      <w:bodyDiv w:val="1"/>
      <w:marLeft w:val="0"/>
      <w:marRight w:val="0"/>
      <w:marTop w:val="0"/>
      <w:marBottom w:val="0"/>
      <w:divBdr>
        <w:top w:val="none" w:sz="0" w:space="0" w:color="auto"/>
        <w:left w:val="none" w:sz="0" w:space="0" w:color="auto"/>
        <w:bottom w:val="none" w:sz="0" w:space="0" w:color="auto"/>
        <w:right w:val="none" w:sz="0" w:space="0" w:color="auto"/>
      </w:divBdr>
      <w:divsChild>
        <w:div w:id="4679420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ealy@abd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project.org/" TargetMode="External"/><Relationship Id="rId4" Type="http://schemas.openxmlformats.org/officeDocument/2006/relationships/settings" Target="settings.xml"/><Relationship Id="rId9" Type="http://schemas.openxmlformats.org/officeDocument/2006/relationships/hyperlink" Target="http://www.mcs.st-andrews.ac.uk/~pej/2mode_te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763AF-57A7-44BE-8728-4F1C44BD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5377</Words>
  <Characters>30650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Healy</dc:creator>
  <cp:keywords/>
  <dc:description/>
  <cp:lastModifiedBy>Healy, David</cp:lastModifiedBy>
  <cp:revision>5</cp:revision>
  <cp:lastPrinted>2018-04-23T10:58:00Z</cp:lastPrinted>
  <dcterms:created xsi:type="dcterms:W3CDTF">2018-08-08T11:36:00Z</dcterms:created>
  <dcterms:modified xsi:type="dcterms:W3CDTF">2018-08-08T12:54:00Z</dcterms:modified>
</cp:coreProperties>
</file>