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1C0F" w:rsidRPr="00B94B87" w:rsidRDefault="002A1C0F" w:rsidP="002A1C0F">
      <w:pPr>
        <w:spacing w:line="360" w:lineRule="auto"/>
        <w:jc w:val="both"/>
        <w:rPr>
          <w:lang w:val="en-US"/>
        </w:rPr>
      </w:pPr>
      <w:r w:rsidRPr="00B94B87">
        <w:rPr>
          <w:lang w:val="en-US"/>
        </w:rPr>
        <w:t xml:space="preserve">All </w:t>
      </w:r>
      <w:proofErr w:type="spellStart"/>
      <w:r w:rsidRPr="00B94B87">
        <w:rPr>
          <w:lang w:val="en-US"/>
        </w:rPr>
        <w:t>lithologies</w:t>
      </w:r>
      <w:proofErr w:type="spellEnd"/>
      <w:r w:rsidRPr="00B94B87">
        <w:rPr>
          <w:lang w:val="en-US"/>
        </w:rPr>
        <w:t xml:space="preserve"> are carbonaceous rocks. Compressive tension gashes inside sigmoidal deformation </w:t>
      </w:r>
      <w:proofErr w:type="gramStart"/>
      <w:r w:rsidRPr="00B94B87">
        <w:rPr>
          <w:lang w:val="en-US"/>
        </w:rPr>
        <w:t>were sampled</w:t>
      </w:r>
      <w:proofErr w:type="gramEnd"/>
      <w:r w:rsidRPr="00B94B87">
        <w:rPr>
          <w:lang w:val="en-US"/>
        </w:rPr>
        <w:t xml:space="preserve"> in the </w:t>
      </w:r>
      <w:proofErr w:type="spellStart"/>
      <w:r w:rsidRPr="00B94B87">
        <w:rPr>
          <w:lang w:val="en-US"/>
        </w:rPr>
        <w:t>Vallée</w:t>
      </w:r>
      <w:proofErr w:type="spellEnd"/>
      <w:r w:rsidRPr="00B94B87">
        <w:rPr>
          <w:lang w:val="en-US"/>
        </w:rPr>
        <w:t xml:space="preserve"> du </w:t>
      </w:r>
      <w:proofErr w:type="spellStart"/>
      <w:r w:rsidRPr="00B94B87">
        <w:rPr>
          <w:lang w:val="en-US"/>
        </w:rPr>
        <w:t>Fournel</w:t>
      </w:r>
      <w:proofErr w:type="spellEnd"/>
      <w:r w:rsidRPr="00B94B87">
        <w:rPr>
          <w:lang w:val="en-US"/>
        </w:rPr>
        <w:t xml:space="preserve"> location. In the </w:t>
      </w:r>
      <w:proofErr w:type="spellStart"/>
      <w:r w:rsidRPr="00B94B87">
        <w:rPr>
          <w:lang w:val="en-US"/>
        </w:rPr>
        <w:t>Reotier</w:t>
      </w:r>
      <w:proofErr w:type="spellEnd"/>
      <w:r w:rsidRPr="00B94B87">
        <w:rPr>
          <w:lang w:val="en-US"/>
        </w:rPr>
        <w:t xml:space="preserve"> location, </w:t>
      </w:r>
      <w:proofErr w:type="spellStart"/>
      <w:r w:rsidRPr="00B94B87">
        <w:rPr>
          <w:lang w:val="en-US"/>
        </w:rPr>
        <w:t>boudinage</w:t>
      </w:r>
      <w:proofErr w:type="spellEnd"/>
      <w:r w:rsidRPr="00B94B87">
        <w:rPr>
          <w:lang w:val="en-US"/>
        </w:rPr>
        <w:t xml:space="preserve"> veins are markers of significant flattening related to thinning of sedimentary units in compressive context. In </w:t>
      </w:r>
      <w:proofErr w:type="spellStart"/>
      <w:r w:rsidRPr="00B94B87">
        <w:rPr>
          <w:lang w:val="en-US"/>
        </w:rPr>
        <w:t>Argentière</w:t>
      </w:r>
      <w:proofErr w:type="spellEnd"/>
      <w:r w:rsidRPr="00B94B87">
        <w:rPr>
          <w:lang w:val="en-US"/>
        </w:rPr>
        <w:t xml:space="preserve"> location, compressive feature </w:t>
      </w:r>
      <w:proofErr w:type="gramStart"/>
      <w:r w:rsidRPr="00B94B87">
        <w:rPr>
          <w:lang w:val="en-US"/>
        </w:rPr>
        <w:t>are expressed</w:t>
      </w:r>
      <w:proofErr w:type="gramEnd"/>
      <w:r w:rsidRPr="00B94B87">
        <w:rPr>
          <w:lang w:val="en-US"/>
        </w:rPr>
        <w:t xml:space="preserve"> in an extrados quartz-calcite veins. Meter scale folds also experienced an important flattening related to nappe </w:t>
      </w:r>
      <w:proofErr w:type="spellStart"/>
      <w:r w:rsidRPr="00B94B87">
        <w:rPr>
          <w:lang w:val="en-US"/>
        </w:rPr>
        <w:t>Westard</w:t>
      </w:r>
      <w:proofErr w:type="spellEnd"/>
      <w:r w:rsidRPr="00B94B87">
        <w:rPr>
          <w:lang w:val="en-US"/>
        </w:rPr>
        <w:t xml:space="preserve"> transport. </w:t>
      </w:r>
    </w:p>
    <w:p w:rsidR="002A1C0F" w:rsidRDefault="002A1C0F" w:rsidP="002A1C0F">
      <w:pPr>
        <w:spacing w:line="360" w:lineRule="auto"/>
        <w:jc w:val="both"/>
        <w:rPr>
          <w:lang w:val="en-US"/>
        </w:rPr>
      </w:pPr>
      <w:r>
        <w:rPr>
          <w:noProof/>
          <w:lang w:eastAsia="fr-FR" w:bidi="ar-SA"/>
        </w:rPr>
        <w:drawing>
          <wp:anchor distT="0" distB="0" distL="0" distR="0" simplePos="0" relativeHeight="251659264" behindDoc="0" locked="0" layoutInCell="1" allowOverlap="1" wp14:anchorId="056755AF" wp14:editId="684EDCF5">
            <wp:simplePos x="0" y="0"/>
            <wp:positionH relativeFrom="column">
              <wp:posOffset>-171450</wp:posOffset>
            </wp:positionH>
            <wp:positionV relativeFrom="paragraph">
              <wp:posOffset>1867535</wp:posOffset>
            </wp:positionV>
            <wp:extent cx="6119495" cy="1647190"/>
            <wp:effectExtent l="0" t="0" r="0" b="0"/>
            <wp:wrapTopAndBottom/>
            <wp:docPr id="1" name="Obj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t1"/>
                    <pic:cNvPicPr>
                      <a:picLocks noChangeAspect="1" noChangeArrowheads="1"/>
                    </pic:cNvPicPr>
                  </pic:nvPicPr>
                  <pic:blipFill>
                    <a:blip r:embed="rId4"/>
                    <a:stretch>
                      <a:fillRect/>
                    </a:stretch>
                  </pic:blipFill>
                  <pic:spPr bwMode="auto">
                    <a:xfrm>
                      <a:off x="0" y="0"/>
                      <a:ext cx="6119495" cy="1647190"/>
                    </a:xfrm>
                    <a:prstGeom prst="rect">
                      <a:avLst/>
                    </a:prstGeom>
                  </pic:spPr>
                </pic:pic>
              </a:graphicData>
            </a:graphic>
          </wp:anchor>
        </w:drawing>
      </w:r>
      <w:r w:rsidRPr="00B94B87">
        <w:rPr>
          <w:lang w:val="en-US"/>
        </w:rPr>
        <w:t xml:space="preserve">Extensive and compressive structures </w:t>
      </w:r>
      <w:proofErr w:type="gramStart"/>
      <w:r w:rsidRPr="00B94B87">
        <w:rPr>
          <w:lang w:val="en-US"/>
        </w:rPr>
        <w:t>were sampled</w:t>
      </w:r>
      <w:proofErr w:type="gramEnd"/>
      <w:r w:rsidRPr="00B94B87">
        <w:rPr>
          <w:lang w:val="en-US"/>
        </w:rPr>
        <w:t xml:space="preserve"> in the Tête </w:t>
      </w:r>
      <w:proofErr w:type="spellStart"/>
      <w:r w:rsidRPr="00B94B87">
        <w:rPr>
          <w:lang w:val="en-US"/>
        </w:rPr>
        <w:t>d’Oréac</w:t>
      </w:r>
      <w:proofErr w:type="spellEnd"/>
      <w:r w:rsidRPr="00B94B87">
        <w:rPr>
          <w:lang w:val="en-US"/>
        </w:rPr>
        <w:t xml:space="preserve"> location. </w:t>
      </w:r>
      <w:proofErr w:type="spellStart"/>
      <w:r w:rsidRPr="00B94B87">
        <w:rPr>
          <w:lang w:val="en-US"/>
        </w:rPr>
        <w:t>Estward</w:t>
      </w:r>
      <w:proofErr w:type="spellEnd"/>
      <w:r w:rsidRPr="00B94B87">
        <w:rPr>
          <w:lang w:val="en-US"/>
        </w:rPr>
        <w:t xml:space="preserve"> of the Tête </w:t>
      </w:r>
      <w:proofErr w:type="spellStart"/>
      <w:r w:rsidRPr="00B94B87">
        <w:rPr>
          <w:lang w:val="en-US"/>
        </w:rPr>
        <w:t>d’Oréac</w:t>
      </w:r>
      <w:proofErr w:type="spellEnd"/>
      <w:r w:rsidRPr="00B94B87">
        <w:rPr>
          <w:lang w:val="en-US"/>
        </w:rPr>
        <w:t xml:space="preserve"> and southward of the </w:t>
      </w:r>
      <w:proofErr w:type="spellStart"/>
      <w:r w:rsidRPr="00B94B87">
        <w:rPr>
          <w:lang w:val="en-US"/>
        </w:rPr>
        <w:t>Tournoux</w:t>
      </w:r>
      <w:proofErr w:type="spellEnd"/>
      <w:r w:rsidRPr="00B94B87">
        <w:rPr>
          <w:lang w:val="en-US"/>
        </w:rPr>
        <w:t xml:space="preserve"> scarp, the Col de la </w:t>
      </w:r>
      <w:proofErr w:type="spellStart"/>
      <w:r w:rsidRPr="00B94B87">
        <w:rPr>
          <w:lang w:val="en-US"/>
        </w:rPr>
        <w:t>Pousterle</w:t>
      </w:r>
      <w:proofErr w:type="spellEnd"/>
      <w:r w:rsidRPr="00B94B87">
        <w:rPr>
          <w:lang w:val="en-US"/>
        </w:rPr>
        <w:t xml:space="preserve"> outcrop also represent the High-Durance Fault System (HDFS), </w:t>
      </w:r>
      <w:proofErr w:type="spellStart"/>
      <w:r w:rsidRPr="00B94B87">
        <w:rPr>
          <w:lang w:val="en-US"/>
        </w:rPr>
        <w:t>en</w:t>
      </w:r>
      <w:proofErr w:type="spellEnd"/>
      <w:r w:rsidRPr="00B94B87">
        <w:rPr>
          <w:lang w:val="en-US"/>
        </w:rPr>
        <w:t xml:space="preserve">-echelon normal veins </w:t>
      </w:r>
      <w:proofErr w:type="gramStart"/>
      <w:r w:rsidRPr="00B94B87">
        <w:rPr>
          <w:lang w:val="en-US"/>
        </w:rPr>
        <w:t>were sampled</w:t>
      </w:r>
      <w:proofErr w:type="gramEnd"/>
      <w:r w:rsidRPr="00B94B87">
        <w:rPr>
          <w:lang w:val="en-US"/>
        </w:rPr>
        <w:t xml:space="preserve">. The same nearly horizontal S0+S1 </w:t>
      </w:r>
      <w:proofErr w:type="gramStart"/>
      <w:r w:rsidRPr="00B94B87">
        <w:rPr>
          <w:lang w:val="en-US"/>
        </w:rPr>
        <w:t>was measured</w:t>
      </w:r>
      <w:proofErr w:type="gramEnd"/>
      <w:r w:rsidRPr="00B94B87">
        <w:rPr>
          <w:lang w:val="en-US"/>
        </w:rPr>
        <w:t xml:space="preserve">. Conjugated fault </w:t>
      </w:r>
      <w:proofErr w:type="gramStart"/>
      <w:r w:rsidRPr="00B94B87">
        <w:rPr>
          <w:lang w:val="en-US"/>
        </w:rPr>
        <w:t>are locally more expressed</w:t>
      </w:r>
      <w:proofErr w:type="gramEnd"/>
      <w:r w:rsidRPr="00B94B87">
        <w:rPr>
          <w:lang w:val="en-US"/>
        </w:rPr>
        <w:t xml:space="preserve">, but </w:t>
      </w:r>
      <w:proofErr w:type="spellStart"/>
      <w:r w:rsidRPr="00B94B87">
        <w:rPr>
          <w:lang w:val="en-US"/>
        </w:rPr>
        <w:t>estward</w:t>
      </w:r>
      <w:proofErr w:type="spellEnd"/>
      <w:r w:rsidRPr="00B94B87">
        <w:rPr>
          <w:lang w:val="en-US"/>
        </w:rPr>
        <w:t xml:space="preserve"> fault are also dominant here. </w:t>
      </w:r>
      <w:proofErr w:type="spellStart"/>
      <w:r w:rsidRPr="00B94B87">
        <w:rPr>
          <w:lang w:val="en-US"/>
        </w:rPr>
        <w:t>En</w:t>
      </w:r>
      <w:proofErr w:type="spellEnd"/>
      <w:r w:rsidRPr="00B94B87">
        <w:rPr>
          <w:lang w:val="en-US"/>
        </w:rPr>
        <w:t xml:space="preserve">-echelon veins are vertical related to normal faults and exclusively composed of calcite. </w:t>
      </w:r>
      <w:proofErr w:type="spellStart"/>
      <w:r w:rsidRPr="00B94B87">
        <w:rPr>
          <w:lang w:val="en-US"/>
        </w:rPr>
        <w:t>Tournoux</w:t>
      </w:r>
      <w:proofErr w:type="spellEnd"/>
      <w:r w:rsidRPr="00B94B87">
        <w:rPr>
          <w:lang w:val="en-US"/>
        </w:rPr>
        <w:t xml:space="preserve"> and </w:t>
      </w:r>
      <w:proofErr w:type="spellStart"/>
      <w:r w:rsidRPr="00B94B87">
        <w:rPr>
          <w:lang w:val="en-US"/>
        </w:rPr>
        <w:t>Ponteil</w:t>
      </w:r>
      <w:proofErr w:type="spellEnd"/>
      <w:r w:rsidRPr="00B94B87">
        <w:rPr>
          <w:lang w:val="en-US"/>
        </w:rPr>
        <w:t xml:space="preserve"> scarp show larger meter scale </w:t>
      </w:r>
      <w:proofErr w:type="spellStart"/>
      <w:r w:rsidRPr="00B94B87">
        <w:rPr>
          <w:lang w:val="en-US"/>
        </w:rPr>
        <w:t>cataclasite</w:t>
      </w:r>
      <w:proofErr w:type="spellEnd"/>
      <w:r w:rsidRPr="00B94B87">
        <w:rPr>
          <w:lang w:val="en-US"/>
        </w:rPr>
        <w:t xml:space="preserve"> extensive structures with consistently Eastward dominant orientation.</w:t>
      </w:r>
    </w:p>
    <w:p w:rsidR="002A1C0F" w:rsidRDefault="002A1C0F" w:rsidP="002A1C0F">
      <w:pPr>
        <w:spacing w:line="360" w:lineRule="auto"/>
        <w:jc w:val="both"/>
        <w:rPr>
          <w:i/>
          <w:iCs/>
          <w:lang w:val="en-US"/>
        </w:rPr>
      </w:pPr>
      <w:r w:rsidRPr="00B94B87">
        <w:rPr>
          <w:i/>
          <w:iCs/>
          <w:lang w:val="en-US"/>
        </w:rPr>
        <w:t xml:space="preserve">Table </w:t>
      </w:r>
      <w:proofErr w:type="gramStart"/>
      <w:r w:rsidRPr="00B94B87">
        <w:rPr>
          <w:i/>
          <w:iCs/>
          <w:lang w:val="en-US"/>
        </w:rPr>
        <w:t>S1 :</w:t>
      </w:r>
      <w:proofErr w:type="gramEnd"/>
      <w:r w:rsidRPr="00B94B87">
        <w:rPr>
          <w:i/>
          <w:iCs/>
          <w:lang w:val="en-US"/>
        </w:rPr>
        <w:t xml:space="preserve"> Locati</w:t>
      </w:r>
      <w:bookmarkStart w:id="0" w:name="_GoBack"/>
      <w:bookmarkEnd w:id="0"/>
      <w:r w:rsidRPr="00B94B87">
        <w:rPr>
          <w:i/>
          <w:iCs/>
          <w:lang w:val="en-US"/>
        </w:rPr>
        <w:t>on of each outcrop. Colors refers to the Fig. 2 in the linked article. Lithology and stratigraphy are based on field observations and 1/50 000 geological map.</w:t>
      </w:r>
    </w:p>
    <w:p w:rsidR="002A1C0F" w:rsidRDefault="002A1C0F" w:rsidP="002A1C0F">
      <w:pPr>
        <w:spacing w:line="360" w:lineRule="auto"/>
        <w:jc w:val="both"/>
        <w:rPr>
          <w:i/>
          <w:iCs/>
          <w:lang w:val="en-US"/>
        </w:rPr>
      </w:pPr>
    </w:p>
    <w:p w:rsidR="002A1C0F" w:rsidRPr="00B94B87" w:rsidRDefault="002A1C0F" w:rsidP="002A1C0F">
      <w:pPr>
        <w:spacing w:line="360" w:lineRule="auto"/>
        <w:jc w:val="both"/>
        <w:rPr>
          <w:lang w:val="en-US"/>
        </w:rPr>
      </w:pPr>
      <w:r>
        <w:rPr>
          <w:noProof/>
          <w:lang w:eastAsia="fr-FR" w:bidi="ar-SA"/>
        </w:rPr>
        <w:lastRenderedPageBreak/>
        <w:drawing>
          <wp:anchor distT="0" distB="0" distL="0" distR="0" simplePos="0" relativeHeight="251660288" behindDoc="0" locked="0" layoutInCell="1" allowOverlap="1" wp14:anchorId="347FA0A9" wp14:editId="1F433E53">
            <wp:simplePos x="0" y="0"/>
            <wp:positionH relativeFrom="margin">
              <wp:align>left</wp:align>
            </wp:positionH>
            <wp:positionV relativeFrom="paragraph">
              <wp:posOffset>28</wp:posOffset>
            </wp:positionV>
            <wp:extent cx="5521960" cy="8310880"/>
            <wp:effectExtent l="0" t="0" r="2540" b="0"/>
            <wp:wrapTopAndBottom/>
            <wp:docPr id="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5"/>
                    <a:stretch>
                      <a:fillRect/>
                    </a:stretch>
                  </pic:blipFill>
                  <pic:spPr bwMode="auto">
                    <a:xfrm>
                      <a:off x="0" y="0"/>
                      <a:ext cx="5521960" cy="8310880"/>
                    </a:xfrm>
                    <a:prstGeom prst="rect">
                      <a:avLst/>
                    </a:prstGeom>
                  </pic:spPr>
                </pic:pic>
              </a:graphicData>
            </a:graphic>
            <wp14:sizeRelH relativeFrom="margin">
              <wp14:pctWidth>0</wp14:pctWidth>
            </wp14:sizeRelH>
            <wp14:sizeRelV relativeFrom="margin">
              <wp14:pctHeight>0</wp14:pctHeight>
            </wp14:sizeRelV>
          </wp:anchor>
        </w:drawing>
      </w:r>
      <w:r w:rsidRPr="00B94B87">
        <w:rPr>
          <w:i/>
          <w:iCs/>
          <w:lang w:val="en-US"/>
        </w:rPr>
        <w:t xml:space="preserve">Fig. S1. Map of numerous elements in </w:t>
      </w:r>
      <w:proofErr w:type="spellStart"/>
      <w:r w:rsidRPr="00B94B87">
        <w:rPr>
          <w:i/>
          <w:iCs/>
          <w:lang w:val="en-US"/>
        </w:rPr>
        <w:t>cataclasite</w:t>
      </w:r>
      <w:proofErr w:type="spellEnd"/>
      <w:r w:rsidRPr="00B94B87">
        <w:rPr>
          <w:i/>
          <w:iCs/>
          <w:lang w:val="en-US"/>
        </w:rPr>
        <w:t xml:space="preserve"> filling </w:t>
      </w:r>
      <w:proofErr w:type="gramStart"/>
      <w:r w:rsidRPr="00B94B87">
        <w:rPr>
          <w:i/>
          <w:iCs/>
          <w:lang w:val="en-US"/>
        </w:rPr>
        <w:t>calcite showing</w:t>
      </w:r>
      <w:proofErr w:type="gramEnd"/>
      <w:r w:rsidRPr="00B94B87">
        <w:rPr>
          <w:i/>
          <w:iCs/>
          <w:lang w:val="en-US"/>
        </w:rPr>
        <w:t xml:space="preserve"> variations between clasts, clear calcite and dusty calcite. </w:t>
      </w:r>
    </w:p>
    <w:p w:rsidR="002A1C0F" w:rsidRDefault="002A1C0F" w:rsidP="002A1C0F">
      <w:pPr>
        <w:spacing w:line="360" w:lineRule="auto"/>
        <w:jc w:val="both"/>
        <w:rPr>
          <w:i/>
          <w:iCs/>
          <w:lang w:val="en-US"/>
        </w:rPr>
      </w:pPr>
      <w:r w:rsidRPr="00B94B87">
        <w:rPr>
          <w:lang w:val="en-US"/>
        </w:rPr>
        <w:lastRenderedPageBreak/>
        <w:t xml:space="preserve">Two elemental map of FP18-2B </w:t>
      </w:r>
      <w:proofErr w:type="spellStart"/>
      <w:r w:rsidRPr="00B94B87">
        <w:rPr>
          <w:lang w:val="en-US"/>
        </w:rPr>
        <w:t>cataclasite</w:t>
      </w:r>
      <w:proofErr w:type="spellEnd"/>
      <w:r w:rsidRPr="00B94B87">
        <w:rPr>
          <w:lang w:val="en-US"/>
        </w:rPr>
        <w:t xml:space="preserve"> calcite filling </w:t>
      </w:r>
      <w:proofErr w:type="gramStart"/>
      <w:r w:rsidRPr="00B94B87">
        <w:rPr>
          <w:lang w:val="en-US"/>
        </w:rPr>
        <w:t>were acquired</w:t>
      </w:r>
      <w:proofErr w:type="gramEnd"/>
      <w:r w:rsidRPr="00B94B87">
        <w:rPr>
          <w:lang w:val="en-US"/>
        </w:rPr>
        <w:t xml:space="preserve">. In the B map 13 elements where monitored. The objective is to look at numerous elements to relate it with uranium content. The limit between clear calcite zoned crystals and dusty calcite is well marked in </w:t>
      </w:r>
      <w:r w:rsidRPr="00B94B87">
        <w:rPr>
          <w:vertAlign w:val="superscript"/>
          <w:lang w:val="en-US"/>
        </w:rPr>
        <w:t>55</w:t>
      </w:r>
      <w:r w:rsidRPr="00B94B87">
        <w:rPr>
          <w:lang w:val="en-US"/>
        </w:rPr>
        <w:t xml:space="preserve">Mn, </w:t>
      </w:r>
      <w:r w:rsidRPr="00B94B87">
        <w:rPr>
          <w:vertAlign w:val="superscript"/>
          <w:lang w:val="en-US"/>
        </w:rPr>
        <w:t>57</w:t>
      </w:r>
      <w:r w:rsidRPr="00B94B87">
        <w:rPr>
          <w:lang w:val="en-US"/>
        </w:rPr>
        <w:t xml:space="preserve">Fe and </w:t>
      </w:r>
      <w:proofErr w:type="spellStart"/>
      <w:r w:rsidRPr="00B94B87">
        <w:rPr>
          <w:lang w:val="en-US"/>
        </w:rPr>
        <w:t>anticorreled</w:t>
      </w:r>
      <w:proofErr w:type="spellEnd"/>
      <w:r w:rsidRPr="00B94B87">
        <w:rPr>
          <w:lang w:val="en-US"/>
        </w:rPr>
        <w:t xml:space="preserve"> to </w:t>
      </w:r>
      <w:r w:rsidRPr="00B94B87">
        <w:rPr>
          <w:vertAlign w:val="superscript"/>
          <w:lang w:val="en-US"/>
        </w:rPr>
        <w:t>88</w:t>
      </w:r>
      <w:r w:rsidRPr="00B94B87">
        <w:rPr>
          <w:lang w:val="en-US"/>
        </w:rPr>
        <w:t xml:space="preserve">Sr. Observed pattern nearly correspond to the one visible in </w:t>
      </w:r>
      <w:r w:rsidRPr="00B94B87">
        <w:rPr>
          <w:vertAlign w:val="superscript"/>
          <w:lang w:val="en-US"/>
        </w:rPr>
        <w:t>238</w:t>
      </w:r>
      <w:r w:rsidRPr="00B94B87">
        <w:rPr>
          <w:lang w:val="en-US"/>
        </w:rPr>
        <w:t xml:space="preserve">U map. For the A map, less elements </w:t>
      </w:r>
      <w:proofErr w:type="gramStart"/>
      <w:r w:rsidRPr="00B94B87">
        <w:rPr>
          <w:lang w:val="en-US"/>
        </w:rPr>
        <w:t>have been monitored</w:t>
      </w:r>
      <w:proofErr w:type="gramEnd"/>
      <w:r w:rsidRPr="00B94B87">
        <w:rPr>
          <w:lang w:val="en-US"/>
        </w:rPr>
        <w:t xml:space="preserve"> to maximize the recording time for each element and increase </w:t>
      </w:r>
      <w:proofErr w:type="spellStart"/>
      <w:r w:rsidRPr="00B94B87">
        <w:rPr>
          <w:lang w:val="en-US"/>
        </w:rPr>
        <w:t>spacial</w:t>
      </w:r>
      <w:proofErr w:type="spellEnd"/>
      <w:r w:rsidRPr="00B94B87">
        <w:rPr>
          <w:lang w:val="en-US"/>
        </w:rPr>
        <w:t xml:space="preserve"> accuracy. </w:t>
      </w:r>
    </w:p>
    <w:p w:rsidR="006C4366" w:rsidRPr="002A1C0F" w:rsidRDefault="006C4366">
      <w:pPr>
        <w:rPr>
          <w:lang w:val="en-US"/>
        </w:rPr>
      </w:pPr>
    </w:p>
    <w:sectPr w:rsidR="006C4366" w:rsidRPr="002A1C0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Liberation Serif">
    <w:altName w:val="Times New Roman"/>
    <w:panose1 w:val="02020603050405020304"/>
    <w:charset w:val="01"/>
    <w:family w:val="roman"/>
    <w:pitch w:val="variable"/>
    <w:sig w:usb0="E0000AFF" w:usb1="500078FF" w:usb2="00000021" w:usb3="00000000" w:csb0="000001BF" w:csb1="00000000"/>
  </w:font>
  <w:font w:name="WenQuanYi Micro Hei">
    <w:altName w:val="MS Mincho"/>
    <w:panose1 w:val="00000000000000000000"/>
    <w:charset w:val="00"/>
    <w:family w:val="roman"/>
    <w:notTrueType/>
    <w:pitch w:val="default"/>
  </w:font>
  <w:font w:name="Lohit Devanagari">
    <w:altName w:val="MS Mincho"/>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1C0F"/>
    <w:rsid w:val="002A1C0F"/>
    <w:rsid w:val="006C43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C282F3B-37CB-478B-A130-8138CFA8D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1C0F"/>
    <w:pPr>
      <w:overflowPunct w:val="0"/>
      <w:spacing w:after="0" w:line="240" w:lineRule="auto"/>
    </w:pPr>
    <w:rPr>
      <w:rFonts w:ascii="Liberation Serif" w:eastAsia="WenQuanYi Micro Hei" w:hAnsi="Liberation Serif" w:cs="Lohit Devanagari"/>
      <w:color w:val="00000A"/>
      <w:sz w:val="24"/>
      <w:szCs w:val="24"/>
      <w:lang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297</Words>
  <Characters>1634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Moi</dc:creator>
  <cp:keywords/>
  <dc:description/>
  <cp:lastModifiedBy>Moi</cp:lastModifiedBy>
  <cp:revision>1</cp:revision>
  <dcterms:created xsi:type="dcterms:W3CDTF">2020-07-09T12:34:00Z</dcterms:created>
  <dcterms:modified xsi:type="dcterms:W3CDTF">2020-07-09T12:35:00Z</dcterms:modified>
</cp:coreProperties>
</file>